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B93" w:rsidRPr="00874FC3" w:rsidRDefault="00576B93" w:rsidP="00874FC3">
      <w:pPr>
        <w:shd w:val="clear" w:color="auto" w:fill="FFFFFF"/>
        <w:spacing w:before="100" w:beforeAutospacing="1" w:after="100" w:afterAutospacing="1" w:line="240" w:lineRule="auto"/>
        <w:jc w:val="both"/>
        <w:textAlignment w:val="baseline"/>
        <w:outlineLvl w:val="1"/>
        <w:rPr>
          <w:rFonts w:ascii="Arial" w:eastAsia="Times New Roman" w:hAnsi="Arial" w:cs="Arial"/>
          <w:b/>
          <w:bCs/>
          <w:color w:val="333333"/>
          <w:sz w:val="36"/>
          <w:szCs w:val="36"/>
          <w:lang w:eastAsia="en-GB"/>
        </w:rPr>
      </w:pPr>
      <w:r w:rsidRPr="00874FC3">
        <w:rPr>
          <w:rFonts w:ascii="Arial" w:eastAsia="Times New Roman" w:hAnsi="Arial" w:cs="Arial"/>
          <w:b/>
          <w:bCs/>
          <w:color w:val="333333"/>
          <w:sz w:val="36"/>
          <w:szCs w:val="36"/>
          <w:lang w:eastAsia="en-GB"/>
        </w:rPr>
        <w:t>P800s into SA and Late filing penalties – recent Tribunal decisions</w:t>
      </w:r>
    </w:p>
    <w:p w:rsidR="00576B93" w:rsidRPr="00874FC3" w:rsidRDefault="00576B93" w:rsidP="00874FC3">
      <w:pPr>
        <w:shd w:val="clear" w:color="auto" w:fill="FFFFFF"/>
        <w:spacing w:beforeAutospacing="1" w:after="0" w:afterAutospacing="1" w:line="240" w:lineRule="auto"/>
        <w:jc w:val="both"/>
        <w:textAlignment w:val="baseline"/>
        <w:rPr>
          <w:rFonts w:ascii="Arial" w:eastAsia="Times New Roman" w:hAnsi="Arial" w:cs="Arial"/>
          <w:color w:val="333333"/>
          <w:sz w:val="26"/>
          <w:szCs w:val="26"/>
          <w:lang w:eastAsia="en-GB"/>
        </w:rPr>
      </w:pPr>
      <w:hyperlink r:id="rId6" w:history="1">
        <w:r w:rsidRPr="00874FC3">
          <w:rPr>
            <w:rFonts w:ascii="Arial" w:eastAsia="Times New Roman" w:hAnsi="Arial" w:cs="Arial"/>
            <w:b/>
            <w:sz w:val="26"/>
            <w:szCs w:val="26"/>
            <w:bdr w:val="none" w:sz="0" w:space="0" w:color="auto" w:frame="1"/>
            <w:lang w:eastAsia="en-GB"/>
          </w:rPr>
          <w:t>Goldsmith</w:t>
        </w:r>
      </w:hyperlink>
      <w:r w:rsidRPr="00874FC3">
        <w:rPr>
          <w:rFonts w:ascii="Arial" w:eastAsia="Times New Roman" w:hAnsi="Arial" w:cs="Arial"/>
          <w:b/>
          <w:sz w:val="26"/>
          <w:szCs w:val="26"/>
          <w:lang w:eastAsia="en-GB"/>
        </w:rPr>
        <w:t> </w:t>
      </w:r>
      <w:r w:rsidRPr="00874FC3">
        <w:rPr>
          <w:rFonts w:ascii="Arial" w:eastAsia="Times New Roman" w:hAnsi="Arial" w:cs="Arial"/>
          <w:b/>
          <w:color w:val="333333"/>
          <w:sz w:val="26"/>
          <w:szCs w:val="26"/>
          <w:lang w:eastAsia="en-GB"/>
        </w:rPr>
        <w:t>(</w:t>
      </w:r>
      <w:hyperlink r:id="rId7" w:history="1">
        <w:r w:rsidRPr="00874FC3">
          <w:rPr>
            <w:rFonts w:ascii="Arial" w:eastAsia="Times New Roman" w:hAnsi="Arial" w:cs="Arial"/>
            <w:b/>
            <w:color w:val="86A3B4"/>
            <w:sz w:val="26"/>
            <w:szCs w:val="26"/>
            <w:u w:val="single"/>
            <w:bdr w:val="none" w:sz="0" w:space="0" w:color="auto" w:frame="1"/>
            <w:lang w:eastAsia="en-GB"/>
          </w:rPr>
          <w:t>TC06284</w:t>
        </w:r>
      </w:hyperlink>
      <w:r w:rsidRPr="00874FC3">
        <w:rPr>
          <w:rFonts w:ascii="Arial" w:eastAsia="Times New Roman" w:hAnsi="Arial" w:cs="Arial"/>
          <w:b/>
          <w:color w:val="333333"/>
          <w:sz w:val="26"/>
          <w:szCs w:val="26"/>
          <w:lang w:eastAsia="en-GB"/>
        </w:rPr>
        <w:t>)</w:t>
      </w:r>
      <w:r w:rsidRPr="00874FC3">
        <w:rPr>
          <w:rFonts w:ascii="Arial" w:eastAsia="Times New Roman" w:hAnsi="Arial" w:cs="Arial"/>
          <w:color w:val="333333"/>
          <w:sz w:val="26"/>
          <w:szCs w:val="26"/>
          <w:lang w:eastAsia="en-GB"/>
        </w:rPr>
        <w:t xml:space="preserve"> put into </w:t>
      </w:r>
      <w:r w:rsidRPr="00874FC3">
        <w:rPr>
          <w:rFonts w:ascii="Arial" w:eastAsia="Times New Roman" w:hAnsi="Arial" w:cs="Arial"/>
          <w:color w:val="333333"/>
          <w:sz w:val="26"/>
          <w:szCs w:val="26"/>
          <w:lang w:eastAsia="en-GB"/>
        </w:rPr>
        <w:t>self assessment because HMRC couldn’t code out an underpayment.</w:t>
      </w:r>
    </w:p>
    <w:p w:rsidR="00576B93" w:rsidRPr="00874FC3" w:rsidRDefault="00576B93" w:rsidP="00874FC3">
      <w:pPr>
        <w:shd w:val="clear" w:color="auto" w:fill="FFFFFF"/>
        <w:spacing w:beforeAutospacing="1" w:after="0" w:afterAutospacing="1" w:line="240" w:lineRule="auto"/>
        <w:jc w:val="both"/>
        <w:textAlignment w:val="baseline"/>
        <w:rPr>
          <w:rFonts w:ascii="Arial" w:eastAsia="Times New Roman" w:hAnsi="Arial" w:cs="Arial"/>
          <w:color w:val="333333"/>
          <w:sz w:val="26"/>
          <w:szCs w:val="26"/>
          <w:lang w:eastAsia="en-GB"/>
        </w:rPr>
      </w:pPr>
      <w:r w:rsidRPr="00874FC3">
        <w:rPr>
          <w:rFonts w:ascii="Arial" w:eastAsia="Times New Roman" w:hAnsi="Arial" w:cs="Arial"/>
          <w:color w:val="333333"/>
          <w:sz w:val="26"/>
          <w:szCs w:val="26"/>
          <w:lang w:eastAsia="en-GB"/>
        </w:rPr>
        <w:t>The</w:t>
      </w:r>
      <w:r w:rsidRPr="00874FC3">
        <w:rPr>
          <w:rFonts w:ascii="Arial" w:eastAsia="Times New Roman" w:hAnsi="Arial" w:cs="Arial"/>
          <w:color w:val="333333"/>
          <w:sz w:val="26"/>
          <w:szCs w:val="26"/>
          <w:lang w:eastAsia="en-GB"/>
        </w:rPr>
        <w:t xml:space="preserve"> first tier tribunal (FTT) ruled that the notice to file a tax return was invalid because it was not “</w:t>
      </w:r>
      <w:r w:rsidRPr="00874FC3">
        <w:rPr>
          <w:rFonts w:ascii="Arial" w:eastAsia="Times New Roman" w:hAnsi="Arial" w:cs="Arial"/>
          <w:i/>
          <w:iCs/>
          <w:color w:val="333333"/>
          <w:sz w:val="26"/>
          <w:szCs w:val="26"/>
          <w:bdr w:val="none" w:sz="0" w:space="0" w:color="auto" w:frame="1"/>
          <w:lang w:eastAsia="en-GB"/>
        </w:rPr>
        <w:t>for the purpose of establishing the amounts in which a person is chargeable to income tax and capital gains tax for a year of assessment, and the amount payable by him by way of income tax for that year</w:t>
      </w:r>
      <w:r w:rsidRPr="00874FC3">
        <w:rPr>
          <w:rFonts w:ascii="Arial" w:eastAsia="Times New Roman" w:hAnsi="Arial" w:cs="Arial"/>
          <w:color w:val="333333"/>
          <w:sz w:val="26"/>
          <w:szCs w:val="26"/>
          <w:lang w:eastAsia="en-GB"/>
        </w:rPr>
        <w:t>” - as required by TMA s8(1)(a).</w:t>
      </w:r>
    </w:p>
    <w:p w:rsidR="00576B93" w:rsidRPr="00874FC3" w:rsidRDefault="00576B93" w:rsidP="00874FC3">
      <w:pPr>
        <w:shd w:val="clear" w:color="auto" w:fill="FFFFFF"/>
        <w:spacing w:before="100" w:beforeAutospacing="1" w:after="100" w:afterAutospacing="1" w:line="240" w:lineRule="auto"/>
        <w:jc w:val="both"/>
        <w:textAlignment w:val="baseline"/>
        <w:rPr>
          <w:rFonts w:ascii="Arial" w:eastAsia="Times New Roman" w:hAnsi="Arial" w:cs="Arial"/>
          <w:color w:val="333333"/>
          <w:sz w:val="26"/>
          <w:szCs w:val="26"/>
          <w:lang w:eastAsia="en-GB"/>
        </w:rPr>
      </w:pPr>
      <w:r w:rsidRPr="00874FC3">
        <w:rPr>
          <w:rFonts w:ascii="Arial" w:eastAsia="Times New Roman" w:hAnsi="Arial" w:cs="Arial"/>
          <w:color w:val="333333"/>
          <w:sz w:val="26"/>
          <w:szCs w:val="26"/>
          <w:lang w:eastAsia="en-GB"/>
        </w:rPr>
        <w:t xml:space="preserve">The practical importance of this was that HMRC couldn’t collect any late filing penalties. </w:t>
      </w:r>
    </w:p>
    <w:p w:rsidR="00576B93" w:rsidRPr="00874FC3" w:rsidRDefault="00576B93" w:rsidP="00874FC3">
      <w:pPr>
        <w:shd w:val="clear" w:color="auto" w:fill="FFFFFF"/>
        <w:spacing w:beforeAutospacing="1" w:after="0" w:afterAutospacing="1" w:line="240" w:lineRule="auto"/>
        <w:jc w:val="both"/>
        <w:textAlignment w:val="baseline"/>
        <w:rPr>
          <w:rFonts w:ascii="Arial" w:eastAsia="Times New Roman" w:hAnsi="Arial" w:cs="Arial"/>
          <w:color w:val="333333"/>
          <w:sz w:val="26"/>
          <w:szCs w:val="26"/>
          <w:lang w:eastAsia="en-GB"/>
        </w:rPr>
      </w:pPr>
      <w:proofErr w:type="spellStart"/>
      <w:r w:rsidRPr="00874FC3">
        <w:rPr>
          <w:rFonts w:ascii="Arial" w:eastAsia="Times New Roman" w:hAnsi="Arial" w:cs="Arial"/>
          <w:b/>
          <w:color w:val="333333"/>
          <w:sz w:val="26"/>
          <w:szCs w:val="26"/>
          <w:lang w:eastAsia="en-GB"/>
        </w:rPr>
        <w:t>Galiara</w:t>
      </w:r>
      <w:proofErr w:type="spellEnd"/>
      <w:r w:rsidRPr="00874FC3">
        <w:rPr>
          <w:rFonts w:ascii="Arial" w:eastAsia="Times New Roman" w:hAnsi="Arial" w:cs="Arial"/>
          <w:b/>
          <w:color w:val="333333"/>
          <w:sz w:val="26"/>
          <w:szCs w:val="26"/>
          <w:lang w:eastAsia="en-GB"/>
        </w:rPr>
        <w:t xml:space="preserve"> (</w:t>
      </w:r>
      <w:hyperlink r:id="rId8" w:history="1">
        <w:r w:rsidRPr="00874FC3">
          <w:rPr>
            <w:rFonts w:ascii="Arial" w:eastAsia="Times New Roman" w:hAnsi="Arial" w:cs="Arial"/>
            <w:b/>
            <w:color w:val="86A3B4"/>
            <w:sz w:val="26"/>
            <w:szCs w:val="26"/>
            <w:u w:val="single"/>
            <w:bdr w:val="none" w:sz="0" w:space="0" w:color="auto" w:frame="1"/>
            <w:lang w:eastAsia="en-GB"/>
          </w:rPr>
          <w:t>TC06431</w:t>
        </w:r>
      </w:hyperlink>
      <w:r w:rsidRPr="00874FC3">
        <w:rPr>
          <w:rFonts w:ascii="Arial" w:eastAsia="Times New Roman" w:hAnsi="Arial" w:cs="Arial"/>
          <w:b/>
          <w:color w:val="333333"/>
          <w:sz w:val="26"/>
          <w:szCs w:val="26"/>
          <w:lang w:eastAsia="en-GB"/>
        </w:rPr>
        <w:t>)</w:t>
      </w:r>
      <w:r w:rsidRPr="00874FC3">
        <w:rPr>
          <w:rFonts w:ascii="Arial" w:eastAsia="Times New Roman" w:hAnsi="Arial" w:cs="Arial"/>
          <w:color w:val="333333"/>
          <w:sz w:val="26"/>
          <w:szCs w:val="26"/>
          <w:lang w:eastAsia="en-GB"/>
        </w:rPr>
        <w:t xml:space="preserve"> and </w:t>
      </w:r>
      <w:r w:rsidRPr="00874FC3">
        <w:rPr>
          <w:rFonts w:ascii="Arial" w:eastAsia="Times New Roman" w:hAnsi="Arial" w:cs="Arial"/>
          <w:b/>
          <w:color w:val="333333"/>
          <w:sz w:val="26"/>
          <w:szCs w:val="26"/>
          <w:lang w:eastAsia="en-GB"/>
        </w:rPr>
        <w:t>Lennon (</w:t>
      </w:r>
      <w:hyperlink r:id="rId9" w:history="1">
        <w:r w:rsidRPr="00874FC3">
          <w:rPr>
            <w:rFonts w:ascii="Arial" w:eastAsia="Times New Roman" w:hAnsi="Arial" w:cs="Arial"/>
            <w:b/>
            <w:color w:val="86A3B4"/>
            <w:sz w:val="26"/>
            <w:szCs w:val="26"/>
            <w:u w:val="single"/>
            <w:bdr w:val="none" w:sz="0" w:space="0" w:color="auto" w:frame="1"/>
            <w:lang w:eastAsia="en-GB"/>
          </w:rPr>
          <w:t>TC06453</w:t>
        </w:r>
      </w:hyperlink>
      <w:r w:rsidRPr="00874FC3">
        <w:rPr>
          <w:rFonts w:ascii="Arial" w:eastAsia="Times New Roman" w:hAnsi="Arial" w:cs="Arial"/>
          <w:b/>
          <w:color w:val="333333"/>
          <w:sz w:val="26"/>
          <w:szCs w:val="26"/>
          <w:lang w:eastAsia="en-GB"/>
        </w:rPr>
        <w:t>)</w:t>
      </w:r>
      <w:r w:rsidRPr="00874FC3">
        <w:rPr>
          <w:rFonts w:ascii="Arial" w:eastAsia="Times New Roman" w:hAnsi="Arial" w:cs="Arial"/>
          <w:color w:val="333333"/>
          <w:sz w:val="26"/>
          <w:szCs w:val="26"/>
          <w:lang w:eastAsia="en-GB"/>
        </w:rPr>
        <w:t xml:space="preserve"> both overturned late filing penalties on the basis that HMRC was not entitled to drag PAYE taxpayers into SA simply for the sake of convenience in collecting underpayments.</w:t>
      </w:r>
    </w:p>
    <w:p w:rsidR="00576B93" w:rsidRPr="00874FC3" w:rsidRDefault="00576B93" w:rsidP="00874FC3">
      <w:pPr>
        <w:shd w:val="clear" w:color="auto" w:fill="FFFFFF"/>
        <w:spacing w:before="100" w:beforeAutospacing="1" w:after="100" w:afterAutospacing="1" w:line="240" w:lineRule="auto"/>
        <w:jc w:val="both"/>
        <w:textAlignment w:val="baseline"/>
        <w:rPr>
          <w:rFonts w:ascii="Arial" w:eastAsia="Times New Roman" w:hAnsi="Arial" w:cs="Arial"/>
          <w:color w:val="333333"/>
          <w:sz w:val="26"/>
          <w:szCs w:val="26"/>
          <w:lang w:eastAsia="en-GB"/>
        </w:rPr>
      </w:pPr>
      <w:r w:rsidRPr="00874FC3">
        <w:rPr>
          <w:rFonts w:ascii="Arial" w:eastAsia="Times New Roman" w:hAnsi="Arial" w:cs="Arial"/>
          <w:color w:val="333333"/>
          <w:sz w:val="26"/>
          <w:szCs w:val="26"/>
          <w:lang w:eastAsia="en-GB"/>
        </w:rPr>
        <w:t>While none of these cases has passed beyond FTT (and so do not have a binding effect on any future judgements), they provide powerful arguments in support of any appeals for PAYE clients who have been asked to file SA returns following the issue of a P800 tax calculation.</w:t>
      </w:r>
    </w:p>
    <w:p w:rsidR="00576B93" w:rsidRPr="00874FC3" w:rsidRDefault="00576B93" w:rsidP="00874FC3">
      <w:pPr>
        <w:shd w:val="clear" w:color="auto" w:fill="FFFFFF"/>
        <w:spacing w:before="100" w:beforeAutospacing="1" w:after="100" w:afterAutospacing="1" w:line="240" w:lineRule="auto"/>
        <w:jc w:val="both"/>
        <w:textAlignment w:val="baseline"/>
        <w:rPr>
          <w:rFonts w:ascii="Arial" w:eastAsia="Times New Roman" w:hAnsi="Arial" w:cs="Arial"/>
          <w:color w:val="333333"/>
          <w:sz w:val="26"/>
          <w:szCs w:val="26"/>
          <w:lang w:eastAsia="en-GB"/>
        </w:rPr>
      </w:pPr>
      <w:r w:rsidRPr="00874FC3">
        <w:rPr>
          <w:rFonts w:ascii="Arial" w:eastAsia="Times New Roman" w:hAnsi="Arial" w:cs="Arial"/>
          <w:color w:val="333333"/>
          <w:sz w:val="26"/>
          <w:szCs w:val="26"/>
          <w:lang w:eastAsia="en-GB"/>
        </w:rPr>
        <w:t>Furthermore, the judge in Lennon referred explicitly to the Goldsmith judgement and adopted its rationale wholeheartedly, despite not being bound by it. It is likely that other judges will similarly adopt this line of reasoning.</w:t>
      </w:r>
    </w:p>
    <w:p w:rsidR="00576B93" w:rsidRPr="00874FC3" w:rsidRDefault="00576B93" w:rsidP="00874FC3">
      <w:pPr>
        <w:shd w:val="clear" w:color="auto" w:fill="FFFFFF"/>
        <w:spacing w:beforeAutospacing="1" w:after="0" w:afterAutospacing="1" w:line="240" w:lineRule="auto"/>
        <w:jc w:val="both"/>
        <w:textAlignment w:val="baseline"/>
        <w:outlineLvl w:val="2"/>
        <w:rPr>
          <w:rFonts w:ascii="Arial" w:eastAsia="Times New Roman" w:hAnsi="Arial" w:cs="Arial"/>
          <w:b/>
          <w:bCs/>
          <w:color w:val="333333"/>
          <w:sz w:val="27"/>
          <w:szCs w:val="27"/>
          <w:lang w:eastAsia="en-GB"/>
        </w:rPr>
      </w:pPr>
      <w:r w:rsidRPr="00874FC3">
        <w:rPr>
          <w:rFonts w:ascii="Arial" w:eastAsia="Times New Roman" w:hAnsi="Arial" w:cs="Arial"/>
          <w:b/>
          <w:bCs/>
          <w:color w:val="333333"/>
          <w:sz w:val="27"/>
          <w:szCs w:val="27"/>
          <w:bdr w:val="none" w:sz="0" w:space="0" w:color="auto" w:frame="1"/>
          <w:lang w:eastAsia="en-GB"/>
        </w:rPr>
        <w:t>What the judges said</w:t>
      </w:r>
    </w:p>
    <w:p w:rsidR="00576B93" w:rsidRPr="00874FC3" w:rsidRDefault="00576B93" w:rsidP="00874FC3">
      <w:pPr>
        <w:numPr>
          <w:ilvl w:val="0"/>
          <w:numId w:val="1"/>
        </w:numPr>
        <w:shd w:val="clear" w:color="auto" w:fill="FFFFFF"/>
        <w:spacing w:after="0" w:line="240" w:lineRule="auto"/>
        <w:jc w:val="both"/>
        <w:textAlignment w:val="baseline"/>
        <w:rPr>
          <w:rFonts w:ascii="Arial" w:eastAsia="Times New Roman" w:hAnsi="Arial" w:cs="Arial"/>
          <w:i/>
          <w:color w:val="333333"/>
          <w:sz w:val="26"/>
          <w:szCs w:val="26"/>
          <w:lang w:eastAsia="en-GB"/>
        </w:rPr>
      </w:pPr>
      <w:r w:rsidRPr="00874FC3">
        <w:rPr>
          <w:rFonts w:ascii="Arial" w:eastAsia="Times New Roman" w:hAnsi="Arial" w:cs="Arial"/>
          <w:i/>
          <w:color w:val="333333"/>
          <w:sz w:val="26"/>
          <w:szCs w:val="26"/>
          <w:lang w:eastAsia="en-GB"/>
        </w:rPr>
        <w:t>Counsel for HMRC “simply asserted that [issuing a notice to file an SA return] was a mechanism for collecting money that the [PAYE taxpayer] had not voluntarily paid to [HMRC]”. She “could not assist us on the issue of whether it was/is a legitimate tactic to impose a requirement that somebody submits self assessment returns, for the purpose of collecting what may or may not be an enforceable sum”.</w:t>
      </w:r>
    </w:p>
    <w:p w:rsidR="00576B93" w:rsidRPr="00874FC3" w:rsidRDefault="00576B93" w:rsidP="00874FC3">
      <w:pPr>
        <w:numPr>
          <w:ilvl w:val="0"/>
          <w:numId w:val="1"/>
        </w:numPr>
        <w:shd w:val="clear" w:color="auto" w:fill="FFFFFF"/>
        <w:spacing w:after="0" w:line="240" w:lineRule="auto"/>
        <w:jc w:val="both"/>
        <w:textAlignment w:val="baseline"/>
        <w:rPr>
          <w:rFonts w:ascii="Arial" w:eastAsia="Times New Roman" w:hAnsi="Arial" w:cs="Arial"/>
          <w:i/>
          <w:color w:val="333333"/>
          <w:sz w:val="26"/>
          <w:szCs w:val="26"/>
          <w:lang w:eastAsia="en-GB"/>
        </w:rPr>
      </w:pPr>
      <w:r w:rsidRPr="00874FC3">
        <w:rPr>
          <w:rFonts w:ascii="Arial" w:eastAsia="Times New Roman" w:hAnsi="Arial" w:cs="Arial"/>
          <w:i/>
          <w:color w:val="333333"/>
          <w:sz w:val="26"/>
          <w:szCs w:val="26"/>
          <w:lang w:eastAsia="en-GB"/>
        </w:rPr>
        <w:t>“If HMRC already knows the amounts in which a taxpayer is chargeable to income tax and CGT for a year of assessment (for example because they have issued voluntary payment letters to the taxpayer and/or a P800 showing an under-deduction and asking the taxpayer to pay the balance), is it really the case that HMRC's purpose in serving the notice to file is to establish that amount?”</w:t>
      </w:r>
    </w:p>
    <w:p w:rsidR="00576B93" w:rsidRPr="00874FC3" w:rsidRDefault="00576B93" w:rsidP="00874FC3">
      <w:pPr>
        <w:numPr>
          <w:ilvl w:val="0"/>
          <w:numId w:val="1"/>
        </w:numPr>
        <w:shd w:val="clear" w:color="auto" w:fill="FFFFFF"/>
        <w:spacing w:after="0" w:line="240" w:lineRule="auto"/>
        <w:jc w:val="both"/>
        <w:textAlignment w:val="baseline"/>
        <w:rPr>
          <w:rFonts w:ascii="Arial" w:eastAsia="Times New Roman" w:hAnsi="Arial" w:cs="Arial"/>
          <w:i/>
          <w:color w:val="333333"/>
          <w:sz w:val="26"/>
          <w:szCs w:val="26"/>
          <w:lang w:eastAsia="en-GB"/>
        </w:rPr>
      </w:pPr>
      <w:r w:rsidRPr="00874FC3">
        <w:rPr>
          <w:rFonts w:ascii="Arial" w:eastAsia="Times New Roman" w:hAnsi="Arial" w:cs="Arial"/>
          <w:i/>
          <w:color w:val="333333"/>
          <w:sz w:val="26"/>
          <w:szCs w:val="26"/>
          <w:lang w:eastAsia="en-GB"/>
        </w:rPr>
        <w:t>“A valid section 8 notice can only be given for the purposes set out in that section. In [this] case..., the notices to file were not given for that purpose. Since no valid section 8 notice was given..., there was no obligation on him to file a self-assessment tax return.”</w:t>
      </w:r>
    </w:p>
    <w:p w:rsidR="00576B93" w:rsidRPr="00874FC3" w:rsidRDefault="00576B93" w:rsidP="00874FC3">
      <w:pPr>
        <w:numPr>
          <w:ilvl w:val="0"/>
          <w:numId w:val="1"/>
        </w:numPr>
        <w:shd w:val="clear" w:color="auto" w:fill="FFFFFF"/>
        <w:spacing w:after="0" w:line="240" w:lineRule="auto"/>
        <w:jc w:val="both"/>
        <w:textAlignment w:val="baseline"/>
        <w:rPr>
          <w:rFonts w:ascii="Arial" w:eastAsia="Times New Roman" w:hAnsi="Arial" w:cs="Arial"/>
          <w:i/>
          <w:color w:val="333333"/>
          <w:sz w:val="26"/>
          <w:szCs w:val="26"/>
          <w:lang w:eastAsia="en-GB"/>
        </w:rPr>
      </w:pPr>
      <w:r w:rsidRPr="00874FC3">
        <w:rPr>
          <w:rFonts w:ascii="Arial" w:eastAsia="Times New Roman" w:hAnsi="Arial" w:cs="Arial"/>
          <w:i/>
          <w:color w:val="333333"/>
          <w:sz w:val="26"/>
          <w:szCs w:val="26"/>
          <w:lang w:eastAsia="en-GB"/>
        </w:rPr>
        <w:lastRenderedPageBreak/>
        <w:t>“It seems to me that the power to ensure that the correct amount of tax has been paid by a taxpayer who has underpaid tax due to an under-deduction of PAYE is still via the section 29 assessing mechanism; and not by putting that taxpayer into the self-assessment regime.”</w:t>
      </w:r>
    </w:p>
    <w:p w:rsidR="00576B93" w:rsidRPr="00874FC3" w:rsidRDefault="00576B93" w:rsidP="00874FC3">
      <w:pPr>
        <w:numPr>
          <w:ilvl w:val="0"/>
          <w:numId w:val="1"/>
        </w:numPr>
        <w:shd w:val="clear" w:color="auto" w:fill="FFFFFF"/>
        <w:spacing w:after="0" w:line="240" w:lineRule="auto"/>
        <w:jc w:val="both"/>
        <w:textAlignment w:val="baseline"/>
        <w:rPr>
          <w:rFonts w:ascii="Arial" w:eastAsia="Times New Roman" w:hAnsi="Arial" w:cs="Arial"/>
          <w:i/>
          <w:color w:val="333333"/>
          <w:sz w:val="26"/>
          <w:szCs w:val="26"/>
          <w:lang w:eastAsia="en-GB"/>
        </w:rPr>
      </w:pPr>
      <w:r w:rsidRPr="00874FC3">
        <w:rPr>
          <w:rFonts w:ascii="Arial" w:eastAsia="Times New Roman" w:hAnsi="Arial" w:cs="Arial"/>
          <w:i/>
          <w:color w:val="333333"/>
          <w:sz w:val="26"/>
          <w:szCs w:val="26"/>
          <w:lang w:eastAsia="en-GB"/>
        </w:rPr>
        <w:t>“The route which HMRC should have taken was to issue an assessment under section 29 TMA 1970 when it had become apparent that the underpayment could not have been coded out.”</w:t>
      </w:r>
    </w:p>
    <w:p w:rsidR="00576B93" w:rsidRPr="00874FC3" w:rsidRDefault="00576B93" w:rsidP="00874FC3">
      <w:pPr>
        <w:numPr>
          <w:ilvl w:val="0"/>
          <w:numId w:val="1"/>
        </w:numPr>
        <w:shd w:val="clear" w:color="auto" w:fill="FFFFFF"/>
        <w:spacing w:after="0" w:line="240" w:lineRule="auto"/>
        <w:jc w:val="both"/>
        <w:textAlignment w:val="baseline"/>
        <w:rPr>
          <w:rFonts w:ascii="Arial" w:eastAsia="Times New Roman" w:hAnsi="Arial" w:cs="Arial"/>
          <w:i/>
          <w:color w:val="333333"/>
          <w:sz w:val="26"/>
          <w:szCs w:val="26"/>
          <w:lang w:eastAsia="en-GB"/>
        </w:rPr>
      </w:pPr>
      <w:r w:rsidRPr="00874FC3">
        <w:rPr>
          <w:rFonts w:ascii="Arial" w:eastAsia="Times New Roman" w:hAnsi="Arial" w:cs="Arial"/>
          <w:i/>
          <w:color w:val="333333"/>
          <w:sz w:val="26"/>
          <w:szCs w:val="26"/>
          <w:lang w:eastAsia="en-GB"/>
        </w:rPr>
        <w:t>“HMRC’s statements in their voluntary payment letters that in such circumstances they might consider putting a taxpayer into the self assessment tax system in order to collect the underpayment may need to be reconsidered.”</w:t>
      </w:r>
    </w:p>
    <w:p w:rsidR="00576B93" w:rsidRPr="00874FC3" w:rsidRDefault="00576B93" w:rsidP="00874FC3">
      <w:pPr>
        <w:shd w:val="clear" w:color="auto" w:fill="FFFFFF"/>
        <w:spacing w:before="100" w:beforeAutospacing="1" w:after="100" w:afterAutospacing="1" w:line="240" w:lineRule="auto"/>
        <w:jc w:val="both"/>
        <w:textAlignment w:val="baseline"/>
        <w:rPr>
          <w:rFonts w:ascii="Arial" w:eastAsia="Times New Roman" w:hAnsi="Arial" w:cs="Arial"/>
          <w:color w:val="333333"/>
          <w:sz w:val="26"/>
          <w:szCs w:val="26"/>
          <w:lang w:eastAsia="en-GB"/>
        </w:rPr>
      </w:pPr>
      <w:r w:rsidRPr="00874FC3">
        <w:rPr>
          <w:rFonts w:ascii="Arial" w:eastAsia="Times New Roman" w:hAnsi="Arial" w:cs="Arial"/>
          <w:color w:val="333333"/>
          <w:sz w:val="26"/>
          <w:szCs w:val="26"/>
          <w:lang w:eastAsia="en-GB"/>
        </w:rPr>
        <w:t xml:space="preserve">HMRC </w:t>
      </w:r>
      <w:r w:rsidRPr="00874FC3">
        <w:rPr>
          <w:rFonts w:ascii="Arial" w:eastAsia="Times New Roman" w:hAnsi="Arial" w:cs="Arial"/>
          <w:color w:val="333333"/>
          <w:sz w:val="26"/>
          <w:szCs w:val="26"/>
          <w:u w:val="single"/>
          <w:lang w:eastAsia="en-GB"/>
        </w:rPr>
        <w:t>DO NOT</w:t>
      </w:r>
      <w:r w:rsidRPr="00874FC3">
        <w:rPr>
          <w:rFonts w:ascii="Arial" w:eastAsia="Times New Roman" w:hAnsi="Arial" w:cs="Arial"/>
          <w:color w:val="333333"/>
          <w:sz w:val="26"/>
          <w:szCs w:val="26"/>
          <w:lang w:eastAsia="en-GB"/>
        </w:rPr>
        <w:t xml:space="preserve"> need SA to collect PAYE underpayments</w:t>
      </w:r>
      <w:r w:rsidRPr="00874FC3">
        <w:rPr>
          <w:rFonts w:ascii="Arial" w:eastAsia="Times New Roman" w:hAnsi="Arial" w:cs="Arial"/>
          <w:color w:val="333333"/>
          <w:sz w:val="26"/>
          <w:szCs w:val="26"/>
          <w:lang w:eastAsia="en-GB"/>
        </w:rPr>
        <w:t>.</w:t>
      </w:r>
    </w:p>
    <w:p w:rsidR="00576B93" w:rsidRPr="00874FC3" w:rsidRDefault="00576B93" w:rsidP="00874FC3">
      <w:pPr>
        <w:shd w:val="clear" w:color="auto" w:fill="FFFFFF"/>
        <w:spacing w:after="0" w:line="240" w:lineRule="auto"/>
        <w:jc w:val="both"/>
        <w:textAlignment w:val="baseline"/>
        <w:rPr>
          <w:rFonts w:ascii="Arial" w:eastAsia="Times New Roman" w:hAnsi="Arial" w:cs="Arial"/>
          <w:color w:val="333333"/>
          <w:sz w:val="26"/>
          <w:szCs w:val="26"/>
          <w:lang w:eastAsia="en-GB"/>
        </w:rPr>
      </w:pPr>
      <w:r w:rsidRPr="00874FC3">
        <w:rPr>
          <w:rFonts w:ascii="Arial" w:eastAsia="Times New Roman" w:hAnsi="Arial" w:cs="Arial"/>
          <w:color w:val="333333"/>
          <w:sz w:val="26"/>
          <w:szCs w:val="26"/>
          <w:lang w:eastAsia="en-GB"/>
        </w:rPr>
        <w:t>They already have</w:t>
      </w:r>
      <w:r w:rsidRPr="00874FC3">
        <w:rPr>
          <w:rFonts w:ascii="Arial" w:eastAsia="Times New Roman" w:hAnsi="Arial" w:cs="Arial"/>
          <w:color w:val="333333"/>
          <w:sz w:val="26"/>
          <w:szCs w:val="26"/>
          <w:lang w:eastAsia="en-GB"/>
        </w:rPr>
        <w:t xml:space="preserve"> assessing powers – TMA s29 assessments and the recently-introduced simple assessment procedures. </w:t>
      </w:r>
    </w:p>
    <w:p w:rsidR="00874FC3" w:rsidRPr="00874FC3" w:rsidRDefault="00874FC3" w:rsidP="00874FC3">
      <w:pPr>
        <w:jc w:val="both"/>
        <w:rPr>
          <w:rFonts w:ascii="Arial" w:hAnsi="Arial" w:cs="Arial"/>
        </w:rPr>
      </w:pPr>
    </w:p>
    <w:p w:rsidR="00874FC3" w:rsidRPr="00874FC3" w:rsidRDefault="00874FC3" w:rsidP="00874FC3">
      <w:pPr>
        <w:jc w:val="both"/>
        <w:rPr>
          <w:rFonts w:ascii="Arial" w:eastAsia="Times New Roman" w:hAnsi="Arial" w:cs="Arial"/>
          <w:color w:val="333333"/>
          <w:sz w:val="26"/>
          <w:szCs w:val="26"/>
          <w:lang w:eastAsia="en-GB"/>
        </w:rPr>
      </w:pPr>
      <w:r w:rsidRPr="00874FC3">
        <w:rPr>
          <w:rFonts w:ascii="Arial" w:eastAsia="Times New Roman" w:hAnsi="Arial" w:cs="Arial"/>
          <w:color w:val="333333"/>
          <w:sz w:val="26"/>
          <w:szCs w:val="26"/>
          <w:lang w:eastAsia="en-GB"/>
        </w:rPr>
        <w:t>Note: Tribunal Cases can be found in the members section</w:t>
      </w:r>
      <w:bookmarkStart w:id="0" w:name="_GoBack"/>
      <w:bookmarkEnd w:id="0"/>
      <w:r w:rsidRPr="00874FC3">
        <w:rPr>
          <w:rFonts w:ascii="Arial" w:eastAsia="Times New Roman" w:hAnsi="Arial" w:cs="Arial"/>
          <w:color w:val="333333"/>
          <w:sz w:val="26"/>
          <w:szCs w:val="26"/>
          <w:lang w:eastAsia="en-GB"/>
        </w:rPr>
        <w:t xml:space="preserve"> of the TaxAid website </w:t>
      </w:r>
    </w:p>
    <w:sectPr w:rsidR="00874FC3" w:rsidRPr="00874F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E2381"/>
    <w:multiLevelType w:val="multilevel"/>
    <w:tmpl w:val="9A9E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4B7643"/>
    <w:multiLevelType w:val="multilevel"/>
    <w:tmpl w:val="7DD2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B93"/>
    <w:rsid w:val="004E622F"/>
    <w:rsid w:val="00564C71"/>
    <w:rsid w:val="00572F64"/>
    <w:rsid w:val="00576B93"/>
    <w:rsid w:val="00874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anceandtax.decisions.tribunals.gov.uk/judgmentfiles/j10393/TC06431.pdf" TargetMode="External"/><Relationship Id="rId3" Type="http://schemas.microsoft.com/office/2007/relationships/stylesWithEffects" Target="stylesWithEffects.xml"/><Relationship Id="rId7" Type="http://schemas.openxmlformats.org/officeDocument/2006/relationships/hyperlink" Target="http://financeandtax.decisions.tribunals.gov.uk/judgmentfiles/j10250/TC0628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countingweb.co.uk/tax/hmrc-policy/inappropriate-use-of-self-assessmen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inanceandtax.decisions.tribunals.gov.uk/judgmentfiles/j10413/TC0645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Browne</dc:creator>
  <cp:lastModifiedBy>Ian Browne</cp:lastModifiedBy>
  <cp:revision>2</cp:revision>
  <cp:lastPrinted>2018-06-14T15:28:00Z</cp:lastPrinted>
  <dcterms:created xsi:type="dcterms:W3CDTF">2018-06-14T14:39:00Z</dcterms:created>
  <dcterms:modified xsi:type="dcterms:W3CDTF">2018-06-14T15:28:00Z</dcterms:modified>
</cp:coreProperties>
</file>