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F5" w:rsidRPr="00C75EDF" w:rsidRDefault="00FA6B0D" w:rsidP="00FA6B0D">
      <w:pPr>
        <w:spacing w:beforeAutospacing="1" w:after="0" w:afterAutospacing="1" w:line="240" w:lineRule="auto"/>
        <w:textAlignment w:val="baseline"/>
        <w:outlineLvl w:val="1"/>
        <w:rPr>
          <w:rFonts w:ascii="Arial" w:eastAsia="Times New Roman" w:hAnsi="Arial" w:cs="Arial"/>
          <w:b/>
          <w:bCs/>
          <w:color w:val="333333"/>
          <w:bdr w:val="none" w:sz="0" w:space="0" w:color="auto" w:frame="1"/>
          <w:lang w:eastAsia="en-GB"/>
        </w:rPr>
      </w:pPr>
      <w:r w:rsidRPr="00C75EDF">
        <w:rPr>
          <w:rFonts w:ascii="Arial" w:eastAsia="Times New Roman" w:hAnsi="Arial" w:cs="Arial"/>
          <w:b/>
          <w:bCs/>
          <w:color w:val="333333"/>
          <w:bdr w:val="none" w:sz="0" w:space="0" w:color="auto" w:frame="1"/>
          <w:lang w:eastAsia="en-GB"/>
        </w:rPr>
        <w:t>Dynamic coding - Impact</w:t>
      </w:r>
      <w:bookmarkStart w:id="0" w:name="_GoBack"/>
      <w:bookmarkEnd w:id="0"/>
    </w:p>
    <w:p w:rsidR="00951CF5" w:rsidRPr="00C75EDF" w:rsidRDefault="00951CF5" w:rsidP="00951CF5">
      <w:pPr>
        <w:shd w:val="clear" w:color="auto" w:fill="FFFFFF"/>
        <w:spacing w:before="100" w:beforeAutospacing="1" w:after="100" w:afterAutospacing="1" w:line="240" w:lineRule="auto"/>
        <w:textAlignment w:val="baseline"/>
        <w:rPr>
          <w:rFonts w:ascii="Arial" w:eastAsia="Times New Roman" w:hAnsi="Arial" w:cs="Arial"/>
          <w:color w:val="333333"/>
          <w:lang w:eastAsia="en-GB"/>
        </w:rPr>
      </w:pPr>
      <w:r w:rsidRPr="00C75EDF">
        <w:rPr>
          <w:rFonts w:ascii="Arial" w:eastAsia="Times New Roman" w:hAnsi="Arial" w:cs="Arial"/>
          <w:color w:val="333333"/>
          <w:lang w:eastAsia="en-GB"/>
        </w:rPr>
        <w:t>Dynamic coding is built around the concept of Estimated Pay (Est Pay) which drives the allocation of allowances, decisions about primary income sources and ultimately, therefore, an employee’s PAYE tax code. As employers or agents submit FPSs the Est Pay changes, and this can, in turn, lead to a revised code.</w:t>
      </w:r>
    </w:p>
    <w:p w:rsidR="00951CF5" w:rsidRPr="00C75EDF" w:rsidRDefault="00951CF5" w:rsidP="00951CF5">
      <w:pPr>
        <w:shd w:val="clear" w:color="auto" w:fill="FFFFFF"/>
        <w:spacing w:before="100" w:beforeAutospacing="1" w:after="100" w:afterAutospacing="1" w:line="240" w:lineRule="auto"/>
        <w:textAlignment w:val="baseline"/>
        <w:rPr>
          <w:rFonts w:ascii="Arial" w:eastAsia="Times New Roman" w:hAnsi="Arial" w:cs="Arial"/>
          <w:color w:val="333333"/>
          <w:lang w:eastAsia="en-GB"/>
        </w:rPr>
      </w:pPr>
      <w:r w:rsidRPr="00C75EDF">
        <w:rPr>
          <w:rFonts w:ascii="Arial" w:eastAsia="Times New Roman" w:hAnsi="Arial" w:cs="Arial"/>
          <w:color w:val="333333"/>
          <w:lang w:eastAsia="en-GB"/>
        </w:rPr>
        <w:t xml:space="preserve">The main landing page for PAYE within your </w:t>
      </w:r>
      <w:r w:rsidRPr="00C75EDF">
        <w:rPr>
          <w:rFonts w:ascii="Arial" w:eastAsia="Times New Roman" w:hAnsi="Arial" w:cs="Arial"/>
          <w:b/>
          <w:color w:val="333333"/>
          <w:lang w:eastAsia="en-GB"/>
        </w:rPr>
        <w:t>personal tax account</w:t>
      </w:r>
      <w:r w:rsidRPr="00C75EDF">
        <w:rPr>
          <w:rFonts w:ascii="Arial" w:eastAsia="Times New Roman" w:hAnsi="Arial" w:cs="Arial"/>
          <w:color w:val="333333"/>
          <w:lang w:eastAsia="en-GB"/>
        </w:rPr>
        <w:t xml:space="preserve"> allows you to:</w:t>
      </w:r>
    </w:p>
    <w:p w:rsidR="00951CF5" w:rsidRPr="00C75EDF" w:rsidRDefault="00951CF5" w:rsidP="00951CF5">
      <w:pPr>
        <w:numPr>
          <w:ilvl w:val="0"/>
          <w:numId w:val="2"/>
        </w:numPr>
        <w:shd w:val="clear" w:color="auto" w:fill="FFFFFF"/>
        <w:spacing w:after="0" w:line="240" w:lineRule="auto"/>
        <w:textAlignment w:val="baseline"/>
        <w:rPr>
          <w:rFonts w:ascii="Arial" w:eastAsia="Times New Roman" w:hAnsi="Arial" w:cs="Arial"/>
          <w:color w:val="333333"/>
          <w:lang w:eastAsia="en-GB"/>
        </w:rPr>
      </w:pPr>
      <w:r w:rsidRPr="00C75EDF">
        <w:rPr>
          <w:rFonts w:ascii="Arial" w:eastAsia="Times New Roman" w:hAnsi="Arial" w:cs="Arial"/>
          <w:color w:val="333333"/>
          <w:lang w:eastAsia="en-GB"/>
        </w:rPr>
        <w:t>view your income streams and see which one HMRC considers your primary source;</w:t>
      </w:r>
    </w:p>
    <w:p w:rsidR="00951CF5" w:rsidRPr="00C75EDF" w:rsidRDefault="00951CF5" w:rsidP="00951CF5">
      <w:pPr>
        <w:numPr>
          <w:ilvl w:val="0"/>
          <w:numId w:val="2"/>
        </w:numPr>
        <w:shd w:val="clear" w:color="auto" w:fill="FFFFFF"/>
        <w:spacing w:after="0" w:line="240" w:lineRule="auto"/>
        <w:textAlignment w:val="baseline"/>
        <w:rPr>
          <w:rFonts w:ascii="Arial" w:eastAsia="Times New Roman" w:hAnsi="Arial" w:cs="Arial"/>
          <w:color w:val="333333"/>
          <w:lang w:eastAsia="en-GB"/>
        </w:rPr>
      </w:pPr>
      <w:r w:rsidRPr="00C75EDF">
        <w:rPr>
          <w:rFonts w:ascii="Arial" w:eastAsia="Times New Roman" w:hAnsi="Arial" w:cs="Arial"/>
          <w:color w:val="333333"/>
          <w:lang w:eastAsia="en-GB"/>
        </w:rPr>
        <w:t>amend your estimated pay by selecting the ‘check your taxable income tab’; and</w:t>
      </w:r>
    </w:p>
    <w:p w:rsidR="00951CF5" w:rsidRPr="00C75EDF" w:rsidRDefault="00951CF5" w:rsidP="00951CF5">
      <w:pPr>
        <w:numPr>
          <w:ilvl w:val="0"/>
          <w:numId w:val="2"/>
        </w:numPr>
        <w:shd w:val="clear" w:color="auto" w:fill="FFFFFF"/>
        <w:spacing w:after="0" w:line="240" w:lineRule="auto"/>
        <w:textAlignment w:val="baseline"/>
        <w:rPr>
          <w:rFonts w:ascii="Arial" w:eastAsia="Times New Roman" w:hAnsi="Arial" w:cs="Arial"/>
          <w:color w:val="333333"/>
          <w:lang w:eastAsia="en-GB"/>
        </w:rPr>
      </w:pPr>
      <w:r w:rsidRPr="00C75EDF">
        <w:rPr>
          <w:rFonts w:ascii="Arial" w:eastAsia="Times New Roman" w:hAnsi="Arial" w:cs="Arial"/>
          <w:color w:val="333333"/>
          <w:lang w:eastAsia="en-GB"/>
        </w:rPr>
        <w:t>look at your current tax code and its constituent parts and inform HMRC if allowances or reliefs are incorrect.</w:t>
      </w:r>
    </w:p>
    <w:p w:rsidR="00951CF5" w:rsidRPr="00C75EDF" w:rsidRDefault="00951CF5" w:rsidP="00951CF5">
      <w:pPr>
        <w:spacing w:beforeAutospacing="1" w:after="0" w:afterAutospacing="1" w:line="240" w:lineRule="auto"/>
        <w:textAlignment w:val="baseline"/>
        <w:outlineLvl w:val="1"/>
        <w:rPr>
          <w:rFonts w:ascii="Arial" w:eastAsia="Times New Roman" w:hAnsi="Arial" w:cs="Arial"/>
          <w:b/>
          <w:bCs/>
          <w:color w:val="333333"/>
          <w:lang w:eastAsia="en-GB"/>
        </w:rPr>
      </w:pPr>
      <w:r w:rsidRPr="00C75EDF">
        <w:rPr>
          <w:rFonts w:ascii="Arial" w:eastAsia="Times New Roman" w:hAnsi="Arial" w:cs="Arial"/>
          <w:b/>
          <w:bCs/>
          <w:color w:val="333333"/>
          <w:bdr w:val="none" w:sz="0" w:space="0" w:color="auto" w:frame="1"/>
          <w:lang w:eastAsia="en-GB"/>
        </w:rPr>
        <w:t>Trigger events</w:t>
      </w:r>
    </w:p>
    <w:p w:rsidR="00951CF5" w:rsidRPr="00C75EDF" w:rsidRDefault="00951CF5" w:rsidP="00951CF5">
      <w:pPr>
        <w:shd w:val="clear" w:color="auto" w:fill="FFFFFF"/>
        <w:spacing w:before="100" w:beforeAutospacing="1" w:after="100" w:afterAutospacing="1" w:line="240" w:lineRule="auto"/>
        <w:textAlignment w:val="baseline"/>
        <w:rPr>
          <w:rFonts w:ascii="Arial" w:eastAsia="Times New Roman" w:hAnsi="Arial" w:cs="Arial"/>
          <w:color w:val="333333"/>
          <w:lang w:eastAsia="en-GB"/>
        </w:rPr>
      </w:pPr>
      <w:r w:rsidRPr="00C75EDF">
        <w:rPr>
          <w:rFonts w:ascii="Arial" w:eastAsia="Times New Roman" w:hAnsi="Arial" w:cs="Arial"/>
          <w:color w:val="333333"/>
          <w:lang w:eastAsia="en-GB"/>
        </w:rPr>
        <w:t>The main trigger events which have been deployed so far to change PAYE codes under dynamic coding have been:</w:t>
      </w:r>
    </w:p>
    <w:p w:rsidR="00951CF5" w:rsidRPr="00C75EDF" w:rsidRDefault="00951CF5" w:rsidP="00951CF5">
      <w:pPr>
        <w:numPr>
          <w:ilvl w:val="0"/>
          <w:numId w:val="3"/>
        </w:numPr>
        <w:shd w:val="clear" w:color="auto" w:fill="FFFFFF"/>
        <w:spacing w:after="0" w:line="240" w:lineRule="auto"/>
        <w:textAlignment w:val="baseline"/>
        <w:rPr>
          <w:rFonts w:ascii="Arial" w:eastAsia="Times New Roman" w:hAnsi="Arial" w:cs="Arial"/>
          <w:color w:val="333333"/>
          <w:lang w:eastAsia="en-GB"/>
        </w:rPr>
      </w:pPr>
      <w:r w:rsidRPr="00C75EDF">
        <w:rPr>
          <w:rFonts w:ascii="Arial" w:eastAsia="Times New Roman" w:hAnsi="Arial" w:cs="Arial"/>
          <w:color w:val="333333"/>
          <w:lang w:eastAsia="en-GB"/>
        </w:rPr>
        <w:t>reacting to changes in annualised estimated pay reported by taxpayers;</w:t>
      </w:r>
    </w:p>
    <w:p w:rsidR="00951CF5" w:rsidRPr="00C75EDF" w:rsidRDefault="00951CF5" w:rsidP="00951CF5">
      <w:pPr>
        <w:numPr>
          <w:ilvl w:val="0"/>
          <w:numId w:val="3"/>
        </w:numPr>
        <w:shd w:val="clear" w:color="auto" w:fill="FFFFFF"/>
        <w:spacing w:after="0" w:line="240" w:lineRule="auto"/>
        <w:textAlignment w:val="baseline"/>
        <w:rPr>
          <w:rFonts w:ascii="Arial" w:eastAsia="Times New Roman" w:hAnsi="Arial" w:cs="Arial"/>
          <w:color w:val="333333"/>
          <w:lang w:eastAsia="en-GB"/>
        </w:rPr>
      </w:pPr>
      <w:r w:rsidRPr="00C75EDF">
        <w:rPr>
          <w:rFonts w:ascii="Arial" w:eastAsia="Times New Roman" w:hAnsi="Arial" w:cs="Arial"/>
          <w:color w:val="333333"/>
          <w:lang w:eastAsia="en-GB"/>
        </w:rPr>
        <w:t>reacting to reports of benefits in kind from employers (P11D, P46(car)) or from taxpayers;</w:t>
      </w:r>
    </w:p>
    <w:p w:rsidR="00951CF5" w:rsidRPr="00C75EDF" w:rsidRDefault="00951CF5" w:rsidP="00951CF5">
      <w:pPr>
        <w:numPr>
          <w:ilvl w:val="0"/>
          <w:numId w:val="3"/>
        </w:numPr>
        <w:shd w:val="clear" w:color="auto" w:fill="FFFFFF"/>
        <w:spacing w:after="0" w:line="240" w:lineRule="auto"/>
        <w:textAlignment w:val="baseline"/>
        <w:rPr>
          <w:rFonts w:ascii="Arial" w:eastAsia="Times New Roman" w:hAnsi="Arial" w:cs="Arial"/>
          <w:color w:val="333333"/>
          <w:lang w:eastAsia="en-GB"/>
        </w:rPr>
      </w:pPr>
      <w:r w:rsidRPr="00C75EDF">
        <w:rPr>
          <w:rFonts w:ascii="Arial" w:eastAsia="Times New Roman" w:hAnsi="Arial" w:cs="Arial"/>
          <w:color w:val="333333"/>
          <w:lang w:eastAsia="en-GB"/>
        </w:rPr>
        <w:t>reacting to reports from taxpayers of allowances/reliefs changing. </w:t>
      </w:r>
    </w:p>
    <w:p w:rsidR="00951CF5" w:rsidRPr="00C75EDF" w:rsidRDefault="00951CF5" w:rsidP="00951CF5">
      <w:pPr>
        <w:shd w:val="clear" w:color="auto" w:fill="FFFFFF"/>
        <w:spacing w:before="100" w:beforeAutospacing="1" w:after="100" w:afterAutospacing="1" w:line="240" w:lineRule="auto"/>
        <w:textAlignment w:val="baseline"/>
        <w:rPr>
          <w:rFonts w:ascii="Arial" w:eastAsia="Times New Roman" w:hAnsi="Arial" w:cs="Arial"/>
          <w:color w:val="333333"/>
          <w:lang w:eastAsia="en-GB"/>
        </w:rPr>
      </w:pPr>
      <w:r w:rsidRPr="00C75EDF">
        <w:rPr>
          <w:rFonts w:ascii="Arial" w:eastAsia="Times New Roman" w:hAnsi="Arial" w:cs="Arial"/>
          <w:color w:val="333333"/>
          <w:lang w:eastAsia="en-GB"/>
        </w:rPr>
        <w:t>The most recent HMRC agent webinar on dynamic coding said that another trigger would be deployed in November around fluctuations in pay reported by employers, but there is no detail on this yet.</w:t>
      </w:r>
    </w:p>
    <w:p w:rsidR="00951CF5" w:rsidRPr="00C75EDF" w:rsidRDefault="00951CF5" w:rsidP="00951CF5">
      <w:pPr>
        <w:spacing w:beforeAutospacing="1" w:after="0" w:afterAutospacing="1" w:line="240" w:lineRule="auto"/>
        <w:textAlignment w:val="baseline"/>
        <w:outlineLvl w:val="1"/>
        <w:rPr>
          <w:rFonts w:ascii="Arial" w:eastAsia="Times New Roman" w:hAnsi="Arial" w:cs="Arial"/>
          <w:b/>
          <w:bCs/>
          <w:color w:val="333333"/>
          <w:lang w:eastAsia="en-GB"/>
        </w:rPr>
      </w:pPr>
      <w:r w:rsidRPr="00C75EDF">
        <w:rPr>
          <w:rFonts w:ascii="Arial" w:eastAsia="Times New Roman" w:hAnsi="Arial" w:cs="Arial"/>
          <w:b/>
          <w:bCs/>
          <w:color w:val="333333"/>
          <w:bdr w:val="none" w:sz="0" w:space="0" w:color="auto" w:frame="1"/>
          <w:lang w:eastAsia="en-GB"/>
        </w:rPr>
        <w:t>What problems have emerged so far?</w:t>
      </w:r>
    </w:p>
    <w:p w:rsidR="00951CF5" w:rsidRPr="00C75EDF" w:rsidRDefault="00951CF5" w:rsidP="00951CF5">
      <w:pPr>
        <w:shd w:val="clear" w:color="auto" w:fill="FFFFFF"/>
        <w:spacing w:beforeAutospacing="1" w:after="0" w:afterAutospacing="1" w:line="240" w:lineRule="auto"/>
        <w:textAlignment w:val="baseline"/>
        <w:rPr>
          <w:rFonts w:ascii="Arial" w:eastAsia="Times New Roman" w:hAnsi="Arial" w:cs="Arial"/>
          <w:color w:val="333333"/>
          <w:lang w:eastAsia="en-GB"/>
        </w:rPr>
      </w:pPr>
      <w:r w:rsidRPr="00C75EDF">
        <w:rPr>
          <w:rFonts w:ascii="Arial" w:eastAsia="Times New Roman" w:hAnsi="Arial" w:cs="Arial"/>
          <w:b/>
          <w:bCs/>
          <w:i/>
          <w:iCs/>
          <w:color w:val="333333"/>
          <w:bdr w:val="none" w:sz="0" w:space="0" w:color="auto" w:frame="1"/>
          <w:lang w:eastAsia="en-GB"/>
        </w:rPr>
        <w:t>Variable pay</w:t>
      </w:r>
    </w:p>
    <w:p w:rsidR="00951CF5" w:rsidRPr="00C75EDF" w:rsidRDefault="00951CF5" w:rsidP="00951CF5">
      <w:pPr>
        <w:shd w:val="clear" w:color="auto" w:fill="FFFFFF"/>
        <w:spacing w:before="100" w:beforeAutospacing="1" w:after="100" w:afterAutospacing="1" w:line="240" w:lineRule="auto"/>
        <w:textAlignment w:val="baseline"/>
        <w:rPr>
          <w:rFonts w:ascii="Arial" w:eastAsia="Times New Roman" w:hAnsi="Arial" w:cs="Arial"/>
          <w:color w:val="333333"/>
          <w:lang w:eastAsia="en-GB"/>
        </w:rPr>
      </w:pPr>
      <w:r w:rsidRPr="00C75EDF">
        <w:rPr>
          <w:rFonts w:ascii="Arial" w:eastAsia="Times New Roman" w:hAnsi="Arial" w:cs="Arial"/>
          <w:color w:val="333333"/>
          <w:lang w:eastAsia="en-GB"/>
        </w:rPr>
        <w:t xml:space="preserve">The Full Payment Submission (FPS) </w:t>
      </w:r>
      <w:r w:rsidR="00FA6B0D" w:rsidRPr="00C75EDF">
        <w:rPr>
          <w:rFonts w:ascii="Arial" w:eastAsia="Times New Roman" w:hAnsi="Arial" w:cs="Arial"/>
          <w:color w:val="333333"/>
          <w:lang w:eastAsia="en-GB"/>
        </w:rPr>
        <w:t xml:space="preserve">by the employer </w:t>
      </w:r>
      <w:r w:rsidRPr="00C75EDF">
        <w:rPr>
          <w:rFonts w:ascii="Arial" w:eastAsia="Times New Roman" w:hAnsi="Arial" w:cs="Arial"/>
          <w:color w:val="333333"/>
          <w:lang w:eastAsia="en-GB"/>
        </w:rPr>
        <w:t>simply reports total taxable pay for both the current period and YTD. If those figures increase, and another trigger has caused HMRC to review the code at the same time, for example, a bonus in August at the same time as a P11D is processed, HMRC extrapolate that to mean there has been a permanent uplift to salary.</w:t>
      </w:r>
    </w:p>
    <w:p w:rsidR="00951CF5" w:rsidRPr="00C75EDF" w:rsidRDefault="00951CF5" w:rsidP="00951CF5">
      <w:pPr>
        <w:shd w:val="clear" w:color="auto" w:fill="FFFFFF"/>
        <w:spacing w:before="100" w:beforeAutospacing="1" w:after="100" w:afterAutospacing="1" w:line="240" w:lineRule="auto"/>
        <w:textAlignment w:val="baseline"/>
        <w:rPr>
          <w:rFonts w:ascii="Arial" w:eastAsia="Times New Roman" w:hAnsi="Arial" w:cs="Arial"/>
          <w:color w:val="333333"/>
          <w:lang w:eastAsia="en-GB"/>
        </w:rPr>
      </w:pPr>
      <w:r w:rsidRPr="00C75EDF">
        <w:rPr>
          <w:rFonts w:ascii="Arial" w:eastAsia="Times New Roman" w:hAnsi="Arial" w:cs="Arial"/>
          <w:color w:val="333333"/>
          <w:lang w:eastAsia="en-GB"/>
        </w:rPr>
        <w:t>Where this higher Est Pay takes an employee over £100,000, personal allowances start to be tapered away and those allowances are fully removed if Est Pay is £123,000 or more.</w:t>
      </w:r>
    </w:p>
    <w:tbl>
      <w:tblPr>
        <w:tblW w:w="10500" w:type="dxa"/>
        <w:tblCellMar>
          <w:left w:w="0" w:type="dxa"/>
          <w:right w:w="0" w:type="dxa"/>
        </w:tblCellMar>
        <w:tblLook w:val="04A0" w:firstRow="1" w:lastRow="0" w:firstColumn="1" w:lastColumn="0" w:noHBand="0" w:noVBand="1"/>
      </w:tblPr>
      <w:tblGrid>
        <w:gridCol w:w="10500"/>
      </w:tblGrid>
      <w:tr w:rsidR="00951CF5" w:rsidRPr="00C75EDF" w:rsidTr="00951CF5">
        <w:tc>
          <w:tcPr>
            <w:tcW w:w="0" w:type="auto"/>
            <w:tcBorders>
              <w:top w:val="nil"/>
              <w:left w:val="nil"/>
              <w:bottom w:val="nil"/>
              <w:right w:val="nil"/>
            </w:tcBorders>
            <w:hideMark/>
          </w:tcPr>
          <w:p w:rsidR="00951CF5" w:rsidRPr="00C75EDF" w:rsidRDefault="00951CF5" w:rsidP="00951CF5">
            <w:pPr>
              <w:spacing w:after="0" w:line="240" w:lineRule="auto"/>
              <w:rPr>
                <w:rFonts w:ascii="Arial" w:eastAsia="Times New Roman" w:hAnsi="Arial" w:cs="Arial"/>
                <w:lang w:eastAsia="en-GB"/>
              </w:rPr>
            </w:pPr>
          </w:p>
        </w:tc>
      </w:tr>
    </w:tbl>
    <w:p w:rsidR="00C75EDF" w:rsidRPr="00C75EDF" w:rsidRDefault="00C75EDF" w:rsidP="00951CF5">
      <w:pPr>
        <w:shd w:val="clear" w:color="auto" w:fill="FFFFFF"/>
        <w:spacing w:after="0" w:line="240" w:lineRule="auto"/>
        <w:textAlignment w:val="baseline"/>
        <w:rPr>
          <w:rFonts w:ascii="Arial" w:eastAsia="Times New Roman" w:hAnsi="Arial" w:cs="Arial"/>
          <w:b/>
          <w:bCs/>
          <w:i/>
          <w:iCs/>
          <w:color w:val="333333"/>
          <w:bdr w:val="none" w:sz="0" w:space="0" w:color="auto" w:frame="1"/>
          <w:lang w:eastAsia="en-GB"/>
        </w:rPr>
      </w:pPr>
    </w:p>
    <w:p w:rsidR="00951CF5" w:rsidRPr="00C75EDF" w:rsidRDefault="00951CF5" w:rsidP="00951CF5">
      <w:pPr>
        <w:shd w:val="clear" w:color="auto" w:fill="FFFFFF"/>
        <w:spacing w:after="0" w:line="240" w:lineRule="auto"/>
        <w:textAlignment w:val="baseline"/>
        <w:rPr>
          <w:rFonts w:ascii="Arial" w:eastAsia="Times New Roman" w:hAnsi="Arial" w:cs="Arial"/>
          <w:color w:val="333333"/>
          <w:lang w:eastAsia="en-GB"/>
        </w:rPr>
      </w:pPr>
      <w:r w:rsidRPr="00C75EDF">
        <w:rPr>
          <w:rFonts w:ascii="Arial" w:eastAsia="Times New Roman" w:hAnsi="Arial" w:cs="Arial"/>
          <w:b/>
          <w:bCs/>
          <w:i/>
          <w:iCs/>
          <w:color w:val="333333"/>
          <w:bdr w:val="none" w:sz="0" w:space="0" w:color="auto" w:frame="1"/>
          <w:lang w:eastAsia="en-GB"/>
        </w:rPr>
        <w:t>Confusing FPS figures</w:t>
      </w:r>
    </w:p>
    <w:p w:rsidR="00951CF5" w:rsidRPr="00C75EDF" w:rsidRDefault="00951CF5" w:rsidP="00951CF5">
      <w:pPr>
        <w:shd w:val="clear" w:color="auto" w:fill="FFFFFF"/>
        <w:spacing w:before="100" w:beforeAutospacing="1" w:after="100" w:afterAutospacing="1" w:line="240" w:lineRule="auto"/>
        <w:textAlignment w:val="baseline"/>
        <w:rPr>
          <w:rFonts w:ascii="Arial" w:eastAsia="Times New Roman" w:hAnsi="Arial" w:cs="Arial"/>
          <w:color w:val="333333"/>
          <w:lang w:eastAsia="en-GB"/>
        </w:rPr>
      </w:pPr>
      <w:r w:rsidRPr="00C75EDF">
        <w:rPr>
          <w:rFonts w:ascii="Arial" w:eastAsia="Times New Roman" w:hAnsi="Arial" w:cs="Arial"/>
          <w:color w:val="333333"/>
          <w:lang w:eastAsia="en-GB"/>
        </w:rPr>
        <w:t>Employees should be aware that the PTA displays all the FPS received, not just the latest YTD figures. However, the total at the bottom of the breakdown screens is derived from other HMRC sources and is a YTD figure.</w:t>
      </w:r>
    </w:p>
    <w:p w:rsidR="00951CF5" w:rsidRPr="00C75EDF" w:rsidRDefault="00951CF5" w:rsidP="00951CF5">
      <w:pPr>
        <w:shd w:val="clear" w:color="auto" w:fill="FFFFFF"/>
        <w:spacing w:after="0" w:line="240" w:lineRule="auto"/>
        <w:textAlignment w:val="baseline"/>
        <w:rPr>
          <w:rFonts w:ascii="Arial" w:eastAsia="Times New Roman" w:hAnsi="Arial" w:cs="Arial"/>
          <w:color w:val="333333"/>
          <w:lang w:eastAsia="en-GB"/>
        </w:rPr>
      </w:pPr>
      <w:r w:rsidRPr="00C75EDF">
        <w:rPr>
          <w:rFonts w:ascii="Arial" w:eastAsia="Times New Roman" w:hAnsi="Arial" w:cs="Arial"/>
          <w:b/>
          <w:bCs/>
          <w:i/>
          <w:iCs/>
          <w:color w:val="333333"/>
          <w:bdr w:val="none" w:sz="0" w:space="0" w:color="auto" w:frame="1"/>
          <w:lang w:eastAsia="en-GB"/>
        </w:rPr>
        <w:t>Duplicated records</w:t>
      </w:r>
    </w:p>
    <w:p w:rsidR="00951CF5" w:rsidRPr="00C75EDF" w:rsidRDefault="00951CF5" w:rsidP="00951CF5">
      <w:pPr>
        <w:shd w:val="clear" w:color="auto" w:fill="FFFFFF"/>
        <w:spacing w:before="100" w:beforeAutospacing="1" w:after="100" w:afterAutospacing="1" w:line="240" w:lineRule="auto"/>
        <w:textAlignment w:val="baseline"/>
        <w:rPr>
          <w:rFonts w:ascii="Arial" w:eastAsia="Times New Roman" w:hAnsi="Arial" w:cs="Arial"/>
          <w:color w:val="333333"/>
          <w:lang w:eastAsia="en-GB"/>
        </w:rPr>
      </w:pPr>
      <w:r w:rsidRPr="00C75EDF">
        <w:rPr>
          <w:rFonts w:ascii="Arial" w:eastAsia="Times New Roman" w:hAnsi="Arial" w:cs="Arial"/>
          <w:color w:val="333333"/>
          <w:lang w:eastAsia="en-GB"/>
        </w:rPr>
        <w:t>We still have the spectre of duplicated records hanging over all PAYE schemes. Despite HMRC’s assertions that they have finessed RTI to stop their systems interpreting a change in personal data as a new source of income, it still happens far too regularly.</w:t>
      </w:r>
    </w:p>
    <w:p w:rsidR="00951CF5" w:rsidRPr="00C75EDF" w:rsidRDefault="00951CF5" w:rsidP="00951CF5">
      <w:pPr>
        <w:shd w:val="clear" w:color="auto" w:fill="FFFFFF"/>
        <w:spacing w:before="100" w:beforeAutospacing="1" w:after="100" w:afterAutospacing="1" w:line="240" w:lineRule="auto"/>
        <w:textAlignment w:val="baseline"/>
        <w:rPr>
          <w:rFonts w:ascii="Arial" w:eastAsia="Times New Roman" w:hAnsi="Arial" w:cs="Arial"/>
          <w:color w:val="333333"/>
          <w:lang w:eastAsia="en-GB"/>
        </w:rPr>
      </w:pPr>
      <w:r w:rsidRPr="00C75EDF">
        <w:rPr>
          <w:rFonts w:ascii="Arial" w:eastAsia="Times New Roman" w:hAnsi="Arial" w:cs="Arial"/>
          <w:color w:val="333333"/>
          <w:lang w:eastAsia="en-GB"/>
        </w:rPr>
        <w:lastRenderedPageBreak/>
        <w:t>For example, I have been attempting to correct the code of an employee, where the insertion of an employee number for pension purposes in July led HMRC to assume he had two employments with the same employer, and consequently an incorrect reallocation of allowances.</w:t>
      </w:r>
    </w:p>
    <w:p w:rsidR="00951CF5" w:rsidRPr="00C75EDF" w:rsidRDefault="00951CF5" w:rsidP="00951CF5">
      <w:pPr>
        <w:shd w:val="clear" w:color="auto" w:fill="FFFFFF"/>
        <w:spacing w:before="100" w:beforeAutospacing="1" w:after="100" w:afterAutospacing="1" w:line="240" w:lineRule="auto"/>
        <w:textAlignment w:val="baseline"/>
        <w:rPr>
          <w:rFonts w:ascii="Arial" w:eastAsia="Times New Roman" w:hAnsi="Arial" w:cs="Arial"/>
          <w:color w:val="333333"/>
          <w:lang w:eastAsia="en-GB"/>
        </w:rPr>
      </w:pPr>
      <w:r w:rsidRPr="00C75EDF">
        <w:rPr>
          <w:rFonts w:ascii="Arial" w:eastAsia="Times New Roman" w:hAnsi="Arial" w:cs="Arial"/>
          <w:color w:val="333333"/>
          <w:lang w:eastAsia="en-GB"/>
        </w:rPr>
        <w:t>I have been told by both the employer helpline and the personal tax helpline that the taxpayer cannot remove a duplicated employment through the PTA, this must be done by a phone call from the taxpayer.</w:t>
      </w:r>
    </w:p>
    <w:tbl>
      <w:tblPr>
        <w:tblW w:w="10500" w:type="dxa"/>
        <w:tblCellMar>
          <w:left w:w="0" w:type="dxa"/>
          <w:right w:w="0" w:type="dxa"/>
        </w:tblCellMar>
        <w:tblLook w:val="04A0" w:firstRow="1" w:lastRow="0" w:firstColumn="1" w:lastColumn="0" w:noHBand="0" w:noVBand="1"/>
      </w:tblPr>
      <w:tblGrid>
        <w:gridCol w:w="10500"/>
      </w:tblGrid>
      <w:tr w:rsidR="00951CF5" w:rsidRPr="00C75EDF" w:rsidTr="00951CF5">
        <w:tc>
          <w:tcPr>
            <w:tcW w:w="0" w:type="auto"/>
            <w:tcBorders>
              <w:top w:val="nil"/>
              <w:left w:val="nil"/>
              <w:bottom w:val="nil"/>
              <w:right w:val="nil"/>
            </w:tcBorders>
            <w:hideMark/>
          </w:tcPr>
          <w:p w:rsidR="00951CF5" w:rsidRPr="00C75EDF" w:rsidRDefault="00951CF5" w:rsidP="00951CF5">
            <w:pPr>
              <w:spacing w:after="0" w:line="240" w:lineRule="auto"/>
              <w:rPr>
                <w:rFonts w:ascii="Arial" w:eastAsia="Times New Roman" w:hAnsi="Arial" w:cs="Arial"/>
                <w:lang w:eastAsia="en-GB"/>
              </w:rPr>
            </w:pPr>
          </w:p>
        </w:tc>
      </w:tr>
    </w:tbl>
    <w:p w:rsidR="00951CF5" w:rsidRPr="00C75EDF" w:rsidRDefault="00951CF5" w:rsidP="00951CF5">
      <w:pPr>
        <w:shd w:val="clear" w:color="auto" w:fill="FFFFFF"/>
        <w:spacing w:after="0" w:line="240" w:lineRule="auto"/>
        <w:textAlignment w:val="baseline"/>
        <w:rPr>
          <w:rFonts w:ascii="Arial" w:eastAsia="Times New Roman" w:hAnsi="Arial" w:cs="Arial"/>
          <w:color w:val="333333"/>
          <w:lang w:eastAsia="en-GB"/>
        </w:rPr>
      </w:pPr>
      <w:r w:rsidRPr="00C75EDF">
        <w:rPr>
          <w:rFonts w:ascii="Arial" w:eastAsia="Times New Roman" w:hAnsi="Arial" w:cs="Arial"/>
          <w:b/>
          <w:bCs/>
          <w:i/>
          <w:iCs/>
          <w:color w:val="333333"/>
          <w:bdr w:val="none" w:sz="0" w:space="0" w:color="auto" w:frame="1"/>
          <w:lang w:eastAsia="en-GB"/>
        </w:rPr>
        <w:t>Whose job is it?</w:t>
      </w:r>
    </w:p>
    <w:p w:rsidR="00951CF5" w:rsidRPr="00C75EDF" w:rsidRDefault="00951CF5" w:rsidP="00951CF5">
      <w:pPr>
        <w:shd w:val="clear" w:color="auto" w:fill="FFFFFF"/>
        <w:spacing w:before="100" w:beforeAutospacing="1" w:after="100" w:afterAutospacing="1" w:line="240" w:lineRule="auto"/>
        <w:textAlignment w:val="baseline"/>
        <w:rPr>
          <w:rFonts w:ascii="Arial" w:eastAsia="Times New Roman" w:hAnsi="Arial" w:cs="Arial"/>
          <w:color w:val="333333"/>
          <w:lang w:eastAsia="en-GB"/>
        </w:rPr>
      </w:pPr>
      <w:r w:rsidRPr="00C75EDF">
        <w:rPr>
          <w:rFonts w:ascii="Arial" w:eastAsia="Times New Roman" w:hAnsi="Arial" w:cs="Arial"/>
          <w:color w:val="333333"/>
          <w:lang w:eastAsia="en-GB"/>
        </w:rPr>
        <w:t>HMRC staff on some of the dynamic coding webinars have told agents that it is an employer’s responsibility to inform HMRC as soon as a new benefit in kind is provided – it isn’t.</w:t>
      </w:r>
    </w:p>
    <w:p w:rsidR="00951CF5" w:rsidRPr="00C75EDF" w:rsidRDefault="00951CF5" w:rsidP="00951CF5">
      <w:pPr>
        <w:shd w:val="clear" w:color="auto" w:fill="FFFFFF"/>
        <w:spacing w:before="100" w:beforeAutospacing="1" w:after="100" w:afterAutospacing="1" w:line="240" w:lineRule="auto"/>
        <w:textAlignment w:val="baseline"/>
        <w:rPr>
          <w:rFonts w:ascii="Arial" w:eastAsia="Times New Roman" w:hAnsi="Arial" w:cs="Arial"/>
          <w:color w:val="333333"/>
          <w:lang w:eastAsia="en-GB"/>
        </w:rPr>
      </w:pPr>
      <w:r w:rsidRPr="00C75EDF">
        <w:rPr>
          <w:rFonts w:ascii="Arial" w:eastAsia="Times New Roman" w:hAnsi="Arial" w:cs="Arial"/>
          <w:color w:val="333333"/>
          <w:lang w:eastAsia="en-GB"/>
        </w:rPr>
        <w:t>Employers report benefits in kind via the P11D after tax year end and quarterly on the P46(car) in the case of new company cars and fuel benefit. If an employee wants their tax code adjusted to reflect a benefit in kind they need to tell HMRC via their PTA. This will trigger an in-year adjustment that will collect all the tax due for 2017/18 in the months that are left in the year by putting the employee on a non-cumulative code.  </w:t>
      </w:r>
    </w:p>
    <w:p w:rsidR="00951CF5" w:rsidRPr="00C75EDF" w:rsidRDefault="00951CF5" w:rsidP="00951CF5">
      <w:pPr>
        <w:shd w:val="clear" w:color="auto" w:fill="FFFFFF"/>
        <w:spacing w:before="100" w:beforeAutospacing="1" w:after="100" w:afterAutospacing="1" w:line="240" w:lineRule="auto"/>
        <w:textAlignment w:val="baseline"/>
        <w:rPr>
          <w:rFonts w:ascii="Arial" w:eastAsia="Times New Roman" w:hAnsi="Arial" w:cs="Arial"/>
          <w:color w:val="333333"/>
          <w:lang w:eastAsia="en-GB"/>
        </w:rPr>
      </w:pPr>
      <w:r w:rsidRPr="00C75EDF">
        <w:rPr>
          <w:rFonts w:ascii="Arial" w:eastAsia="Times New Roman" w:hAnsi="Arial" w:cs="Arial"/>
          <w:color w:val="333333"/>
          <w:lang w:eastAsia="en-GB"/>
        </w:rPr>
        <w:t xml:space="preserve">So, the later in the tax year the benefit is reported, the more significant the impact </w:t>
      </w:r>
    </w:p>
    <w:p w:rsidR="00951CF5" w:rsidRPr="00C75EDF" w:rsidRDefault="00951CF5" w:rsidP="00951CF5">
      <w:pPr>
        <w:shd w:val="clear" w:color="auto" w:fill="FFFFFF"/>
        <w:spacing w:before="100" w:beforeAutospacing="1" w:after="100" w:afterAutospacing="1" w:line="240" w:lineRule="auto"/>
        <w:textAlignment w:val="baseline"/>
        <w:rPr>
          <w:rFonts w:ascii="Arial" w:eastAsia="Times New Roman" w:hAnsi="Arial" w:cs="Arial"/>
          <w:color w:val="333333"/>
          <w:lang w:eastAsia="en-GB"/>
        </w:rPr>
      </w:pPr>
      <w:r w:rsidRPr="00C75EDF">
        <w:rPr>
          <w:rFonts w:ascii="Arial" w:eastAsia="Times New Roman" w:hAnsi="Arial" w:cs="Arial"/>
          <w:b/>
          <w:bCs/>
          <w:i/>
          <w:iCs/>
          <w:color w:val="333333"/>
          <w:bdr w:val="none" w:sz="0" w:space="0" w:color="auto" w:frame="1"/>
          <w:lang w:eastAsia="en-GB"/>
        </w:rPr>
        <w:t>Tax refunds</w:t>
      </w:r>
    </w:p>
    <w:p w:rsidR="00951CF5" w:rsidRPr="00C75EDF" w:rsidRDefault="00951CF5" w:rsidP="00951CF5">
      <w:pPr>
        <w:shd w:val="clear" w:color="auto" w:fill="FFFFFF"/>
        <w:spacing w:before="100" w:beforeAutospacing="1" w:after="100" w:afterAutospacing="1" w:line="240" w:lineRule="auto"/>
        <w:textAlignment w:val="baseline"/>
        <w:rPr>
          <w:rFonts w:ascii="Arial" w:eastAsia="Times New Roman" w:hAnsi="Arial" w:cs="Arial"/>
          <w:color w:val="333333"/>
          <w:lang w:eastAsia="en-GB"/>
        </w:rPr>
      </w:pPr>
      <w:r w:rsidRPr="00C75EDF">
        <w:rPr>
          <w:rFonts w:ascii="Arial" w:eastAsia="Times New Roman" w:hAnsi="Arial" w:cs="Arial"/>
          <w:color w:val="333333"/>
          <w:lang w:eastAsia="en-GB"/>
        </w:rPr>
        <w:t>One of the selling features of dynamic coding was that taxpayers who overpay tax will now get refunds in-year. However, a micro-employer (particularly care and support employers with a fixed local authority budget) will not be able to fund these tax refunds as they have insufficient other tax and NI to offset them against.</w:t>
      </w:r>
    </w:p>
    <w:tbl>
      <w:tblPr>
        <w:tblW w:w="10500" w:type="dxa"/>
        <w:tblCellMar>
          <w:left w:w="0" w:type="dxa"/>
          <w:right w:w="0" w:type="dxa"/>
        </w:tblCellMar>
        <w:tblLook w:val="04A0" w:firstRow="1" w:lastRow="0" w:firstColumn="1" w:lastColumn="0" w:noHBand="0" w:noVBand="1"/>
      </w:tblPr>
      <w:tblGrid>
        <w:gridCol w:w="10500"/>
      </w:tblGrid>
      <w:tr w:rsidR="00951CF5" w:rsidRPr="00C75EDF" w:rsidTr="00951CF5">
        <w:tc>
          <w:tcPr>
            <w:tcW w:w="0" w:type="auto"/>
            <w:tcBorders>
              <w:top w:val="nil"/>
              <w:left w:val="nil"/>
              <w:bottom w:val="nil"/>
              <w:right w:val="nil"/>
            </w:tcBorders>
            <w:hideMark/>
          </w:tcPr>
          <w:p w:rsidR="00951CF5" w:rsidRPr="00C75EDF" w:rsidRDefault="00951CF5" w:rsidP="00951CF5">
            <w:pPr>
              <w:spacing w:after="0" w:line="240" w:lineRule="auto"/>
              <w:rPr>
                <w:rFonts w:ascii="Arial" w:eastAsia="Times New Roman" w:hAnsi="Arial" w:cs="Arial"/>
                <w:lang w:eastAsia="en-GB"/>
              </w:rPr>
            </w:pPr>
          </w:p>
        </w:tc>
      </w:tr>
    </w:tbl>
    <w:p w:rsidR="00951CF5" w:rsidRPr="00C75EDF" w:rsidRDefault="00951CF5" w:rsidP="00951CF5">
      <w:pPr>
        <w:shd w:val="clear" w:color="auto" w:fill="FFFFFF"/>
        <w:spacing w:beforeAutospacing="1" w:after="0" w:afterAutospacing="1" w:line="240" w:lineRule="auto"/>
        <w:textAlignment w:val="baseline"/>
        <w:rPr>
          <w:rFonts w:ascii="Arial" w:eastAsia="Times New Roman" w:hAnsi="Arial" w:cs="Arial"/>
          <w:color w:val="333333"/>
          <w:lang w:eastAsia="en-GB"/>
        </w:rPr>
      </w:pPr>
      <w:r w:rsidRPr="00C75EDF">
        <w:rPr>
          <w:rFonts w:ascii="Arial" w:eastAsia="Times New Roman" w:hAnsi="Arial" w:cs="Arial"/>
          <w:b/>
          <w:bCs/>
          <w:color w:val="333333"/>
          <w:bdr w:val="none" w:sz="0" w:space="0" w:color="auto" w:frame="1"/>
          <w:lang w:eastAsia="en-GB"/>
        </w:rPr>
        <w:t>What can agents do?</w:t>
      </w:r>
    </w:p>
    <w:p w:rsidR="00951CF5" w:rsidRPr="00C75EDF" w:rsidRDefault="00951CF5" w:rsidP="00951CF5">
      <w:pPr>
        <w:shd w:val="clear" w:color="auto" w:fill="FFFFFF"/>
        <w:spacing w:before="100" w:beforeAutospacing="1" w:after="100" w:afterAutospacing="1" w:line="240" w:lineRule="auto"/>
        <w:textAlignment w:val="baseline"/>
        <w:rPr>
          <w:rFonts w:ascii="Arial" w:eastAsia="Times New Roman" w:hAnsi="Arial" w:cs="Arial"/>
          <w:color w:val="333333"/>
          <w:lang w:eastAsia="en-GB"/>
        </w:rPr>
      </w:pPr>
      <w:r w:rsidRPr="00C75EDF">
        <w:rPr>
          <w:rFonts w:ascii="Arial" w:eastAsia="Times New Roman" w:hAnsi="Arial" w:cs="Arial"/>
          <w:color w:val="333333"/>
          <w:lang w:eastAsia="en-GB"/>
        </w:rPr>
        <w:t xml:space="preserve">Tax agents can’t access their client’s PTA even if they have authorisation to </w:t>
      </w:r>
      <w:proofErr w:type="spellStart"/>
      <w:r w:rsidRPr="00C75EDF">
        <w:rPr>
          <w:rFonts w:ascii="Arial" w:eastAsia="Times New Roman" w:hAnsi="Arial" w:cs="Arial"/>
          <w:color w:val="333333"/>
          <w:lang w:eastAsia="en-GB"/>
        </w:rPr>
        <w:t>actHMRC</w:t>
      </w:r>
      <w:proofErr w:type="spellEnd"/>
      <w:r w:rsidRPr="00C75EDF">
        <w:rPr>
          <w:rFonts w:ascii="Arial" w:eastAsia="Times New Roman" w:hAnsi="Arial" w:cs="Arial"/>
          <w:color w:val="333333"/>
          <w:lang w:eastAsia="en-GB"/>
        </w:rPr>
        <w:t xml:space="preserve"> says they are working on giving agents a view function for the PTA, but not an update facility and no timescale has been given for that enhancement.    </w:t>
      </w:r>
    </w:p>
    <w:p w:rsidR="003C6901" w:rsidRDefault="003C6901"/>
    <w:sectPr w:rsidR="003C6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5B78"/>
    <w:multiLevelType w:val="multilevel"/>
    <w:tmpl w:val="A0EE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17AF1"/>
    <w:multiLevelType w:val="multilevel"/>
    <w:tmpl w:val="9E08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1E0C3E"/>
    <w:multiLevelType w:val="multilevel"/>
    <w:tmpl w:val="AB44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F5"/>
    <w:rsid w:val="003C6901"/>
    <w:rsid w:val="00951CF5"/>
    <w:rsid w:val="00983570"/>
    <w:rsid w:val="00C75EDF"/>
    <w:rsid w:val="00FA6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1C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51CF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CF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51CF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951CF5"/>
    <w:rPr>
      <w:color w:val="0000FF"/>
      <w:u w:val="single"/>
    </w:rPr>
  </w:style>
  <w:style w:type="character" w:customStyle="1" w:styleId="date-display-single">
    <w:name w:val="date-display-single"/>
    <w:basedOn w:val="DefaultParagraphFont"/>
    <w:rsid w:val="00951CF5"/>
  </w:style>
  <w:style w:type="paragraph" w:styleId="NormalWeb">
    <w:name w:val="Normal (Web)"/>
    <w:basedOn w:val="Normal"/>
    <w:uiPriority w:val="99"/>
    <w:semiHidden/>
    <w:unhideWhenUsed/>
    <w:rsid w:val="00951C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51CF5"/>
    <w:rPr>
      <w:i/>
      <w:iCs/>
    </w:rPr>
  </w:style>
  <w:style w:type="character" w:styleId="Strong">
    <w:name w:val="Strong"/>
    <w:basedOn w:val="DefaultParagraphFont"/>
    <w:uiPriority w:val="22"/>
    <w:qFormat/>
    <w:rsid w:val="00951CF5"/>
    <w:rPr>
      <w:b/>
      <w:bCs/>
    </w:rPr>
  </w:style>
  <w:style w:type="paragraph" w:styleId="BalloonText">
    <w:name w:val="Balloon Text"/>
    <w:basedOn w:val="Normal"/>
    <w:link w:val="BalloonTextChar"/>
    <w:uiPriority w:val="99"/>
    <w:semiHidden/>
    <w:unhideWhenUsed/>
    <w:rsid w:val="00951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1C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51CF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CF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51CF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951CF5"/>
    <w:rPr>
      <w:color w:val="0000FF"/>
      <w:u w:val="single"/>
    </w:rPr>
  </w:style>
  <w:style w:type="character" w:customStyle="1" w:styleId="date-display-single">
    <w:name w:val="date-display-single"/>
    <w:basedOn w:val="DefaultParagraphFont"/>
    <w:rsid w:val="00951CF5"/>
  </w:style>
  <w:style w:type="paragraph" w:styleId="NormalWeb">
    <w:name w:val="Normal (Web)"/>
    <w:basedOn w:val="Normal"/>
    <w:uiPriority w:val="99"/>
    <w:semiHidden/>
    <w:unhideWhenUsed/>
    <w:rsid w:val="00951C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51CF5"/>
    <w:rPr>
      <w:i/>
      <w:iCs/>
    </w:rPr>
  </w:style>
  <w:style w:type="character" w:styleId="Strong">
    <w:name w:val="Strong"/>
    <w:basedOn w:val="DefaultParagraphFont"/>
    <w:uiPriority w:val="22"/>
    <w:qFormat/>
    <w:rsid w:val="00951CF5"/>
    <w:rPr>
      <w:b/>
      <w:bCs/>
    </w:rPr>
  </w:style>
  <w:style w:type="paragraph" w:styleId="BalloonText">
    <w:name w:val="Balloon Text"/>
    <w:basedOn w:val="Normal"/>
    <w:link w:val="BalloonTextChar"/>
    <w:uiPriority w:val="99"/>
    <w:semiHidden/>
    <w:unhideWhenUsed/>
    <w:rsid w:val="00951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187921">
      <w:bodyDiv w:val="1"/>
      <w:marLeft w:val="0"/>
      <w:marRight w:val="0"/>
      <w:marTop w:val="0"/>
      <w:marBottom w:val="0"/>
      <w:divBdr>
        <w:top w:val="none" w:sz="0" w:space="0" w:color="auto"/>
        <w:left w:val="none" w:sz="0" w:space="0" w:color="auto"/>
        <w:bottom w:val="none" w:sz="0" w:space="0" w:color="auto"/>
        <w:right w:val="none" w:sz="0" w:space="0" w:color="auto"/>
      </w:divBdr>
      <w:divsChild>
        <w:div w:id="1018896293">
          <w:marLeft w:val="0"/>
          <w:marRight w:val="0"/>
          <w:marTop w:val="100"/>
          <w:marBottom w:val="100"/>
          <w:divBdr>
            <w:top w:val="none" w:sz="0" w:space="0" w:color="auto"/>
            <w:left w:val="none" w:sz="0" w:space="0" w:color="auto"/>
            <w:bottom w:val="none" w:sz="0" w:space="0" w:color="auto"/>
            <w:right w:val="none" w:sz="0" w:space="0" w:color="auto"/>
          </w:divBdr>
        </w:div>
        <w:div w:id="990325977">
          <w:marLeft w:val="0"/>
          <w:marRight w:val="0"/>
          <w:marTop w:val="0"/>
          <w:marBottom w:val="0"/>
          <w:divBdr>
            <w:top w:val="none" w:sz="0" w:space="0" w:color="auto"/>
            <w:left w:val="none" w:sz="0" w:space="0" w:color="auto"/>
            <w:bottom w:val="none" w:sz="0" w:space="0" w:color="auto"/>
            <w:right w:val="none" w:sz="0" w:space="0" w:color="auto"/>
          </w:divBdr>
          <w:divsChild>
            <w:div w:id="442191792">
              <w:marLeft w:val="0"/>
              <w:marRight w:val="0"/>
              <w:marTop w:val="0"/>
              <w:marBottom w:val="0"/>
              <w:divBdr>
                <w:top w:val="none" w:sz="0" w:space="0" w:color="auto"/>
                <w:left w:val="none" w:sz="0" w:space="0" w:color="auto"/>
                <w:bottom w:val="none" w:sz="0" w:space="0" w:color="auto"/>
                <w:right w:val="none" w:sz="0" w:space="0" w:color="auto"/>
              </w:divBdr>
            </w:div>
          </w:divsChild>
        </w:div>
        <w:div w:id="703210547">
          <w:marLeft w:val="0"/>
          <w:marRight w:val="0"/>
          <w:marTop w:val="0"/>
          <w:marBottom w:val="0"/>
          <w:divBdr>
            <w:top w:val="none" w:sz="0" w:space="0" w:color="auto"/>
            <w:left w:val="none" w:sz="0" w:space="0" w:color="auto"/>
            <w:bottom w:val="none" w:sz="0" w:space="0" w:color="auto"/>
            <w:right w:val="none" w:sz="0" w:space="0" w:color="auto"/>
          </w:divBdr>
          <w:divsChild>
            <w:div w:id="1817262970">
              <w:marLeft w:val="0"/>
              <w:marRight w:val="0"/>
              <w:marTop w:val="0"/>
              <w:marBottom w:val="0"/>
              <w:divBdr>
                <w:top w:val="none" w:sz="0" w:space="0" w:color="auto"/>
                <w:left w:val="none" w:sz="0" w:space="0" w:color="auto"/>
                <w:bottom w:val="none" w:sz="0" w:space="0" w:color="auto"/>
                <w:right w:val="none" w:sz="0" w:space="0" w:color="auto"/>
              </w:divBdr>
              <w:divsChild>
                <w:div w:id="1931691623">
                  <w:marLeft w:val="0"/>
                  <w:marRight w:val="0"/>
                  <w:marTop w:val="0"/>
                  <w:marBottom w:val="0"/>
                  <w:divBdr>
                    <w:top w:val="none" w:sz="0" w:space="0" w:color="auto"/>
                    <w:left w:val="none" w:sz="0" w:space="0" w:color="auto"/>
                    <w:bottom w:val="none" w:sz="0" w:space="0" w:color="auto"/>
                    <w:right w:val="none" w:sz="0" w:space="0" w:color="auto"/>
                  </w:divBdr>
                  <w:divsChild>
                    <w:div w:id="386954047">
                      <w:marLeft w:val="0"/>
                      <w:marRight w:val="0"/>
                      <w:marTop w:val="0"/>
                      <w:marBottom w:val="0"/>
                      <w:divBdr>
                        <w:top w:val="none" w:sz="0" w:space="0" w:color="auto"/>
                        <w:left w:val="none" w:sz="0" w:space="0" w:color="auto"/>
                        <w:bottom w:val="none" w:sz="0" w:space="0" w:color="auto"/>
                        <w:right w:val="none" w:sz="0" w:space="0" w:color="auto"/>
                      </w:divBdr>
                      <w:divsChild>
                        <w:div w:id="2113435339">
                          <w:marLeft w:val="0"/>
                          <w:marRight w:val="0"/>
                          <w:marTop w:val="0"/>
                          <w:marBottom w:val="0"/>
                          <w:divBdr>
                            <w:top w:val="none" w:sz="0" w:space="0" w:color="auto"/>
                            <w:left w:val="none" w:sz="0" w:space="0" w:color="auto"/>
                            <w:bottom w:val="none" w:sz="0" w:space="0" w:color="auto"/>
                            <w:right w:val="none" w:sz="0" w:space="0" w:color="auto"/>
                          </w:divBdr>
                          <w:divsChild>
                            <w:div w:id="58679089">
                              <w:marLeft w:val="0"/>
                              <w:marRight w:val="0"/>
                              <w:marTop w:val="0"/>
                              <w:marBottom w:val="0"/>
                              <w:divBdr>
                                <w:top w:val="none" w:sz="0" w:space="0" w:color="auto"/>
                                <w:left w:val="none" w:sz="0" w:space="0" w:color="auto"/>
                                <w:bottom w:val="none" w:sz="0" w:space="0" w:color="auto"/>
                                <w:right w:val="none" w:sz="0" w:space="0" w:color="auto"/>
                              </w:divBdr>
                            </w:div>
                          </w:divsChild>
                        </w:div>
                        <w:div w:id="1859193303">
                          <w:marLeft w:val="0"/>
                          <w:marRight w:val="0"/>
                          <w:marTop w:val="0"/>
                          <w:marBottom w:val="0"/>
                          <w:divBdr>
                            <w:top w:val="none" w:sz="0" w:space="0" w:color="auto"/>
                            <w:left w:val="none" w:sz="0" w:space="0" w:color="auto"/>
                            <w:bottom w:val="none" w:sz="0" w:space="0" w:color="auto"/>
                            <w:right w:val="none" w:sz="0" w:space="0" w:color="auto"/>
                          </w:divBdr>
                          <w:divsChild>
                            <w:div w:id="19169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8248">
                  <w:marLeft w:val="0"/>
                  <w:marRight w:val="0"/>
                  <w:marTop w:val="0"/>
                  <w:marBottom w:val="0"/>
                  <w:divBdr>
                    <w:top w:val="single" w:sz="24" w:space="0" w:color="DCE6EB"/>
                    <w:left w:val="none" w:sz="0" w:space="0" w:color="auto"/>
                    <w:bottom w:val="single" w:sz="24" w:space="0" w:color="DCE6EB"/>
                    <w:right w:val="none" w:sz="0" w:space="0" w:color="auto"/>
                  </w:divBdr>
                  <w:divsChild>
                    <w:div w:id="772094661">
                      <w:marLeft w:val="0"/>
                      <w:marRight w:val="0"/>
                      <w:marTop w:val="0"/>
                      <w:marBottom w:val="0"/>
                      <w:divBdr>
                        <w:top w:val="none" w:sz="0" w:space="0" w:color="auto"/>
                        <w:left w:val="none" w:sz="0" w:space="0" w:color="auto"/>
                        <w:bottom w:val="none" w:sz="0" w:space="0" w:color="auto"/>
                        <w:right w:val="none" w:sz="0" w:space="0" w:color="auto"/>
                      </w:divBdr>
                      <w:divsChild>
                        <w:div w:id="605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6567">
                  <w:marLeft w:val="0"/>
                  <w:marRight w:val="0"/>
                  <w:marTop w:val="0"/>
                  <w:marBottom w:val="0"/>
                  <w:divBdr>
                    <w:top w:val="none" w:sz="0" w:space="0" w:color="auto"/>
                    <w:left w:val="none" w:sz="0" w:space="0" w:color="auto"/>
                    <w:bottom w:val="none" w:sz="0" w:space="0" w:color="auto"/>
                    <w:right w:val="none" w:sz="0" w:space="0" w:color="auto"/>
                  </w:divBdr>
                  <w:divsChild>
                    <w:div w:id="18451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8967">
              <w:marLeft w:val="0"/>
              <w:marRight w:val="0"/>
              <w:marTop w:val="0"/>
              <w:marBottom w:val="0"/>
              <w:divBdr>
                <w:top w:val="none" w:sz="0" w:space="0" w:color="auto"/>
                <w:left w:val="none" w:sz="0" w:space="0" w:color="auto"/>
                <w:bottom w:val="none" w:sz="0" w:space="0" w:color="auto"/>
                <w:right w:val="none" w:sz="0" w:space="0" w:color="auto"/>
              </w:divBdr>
              <w:divsChild>
                <w:div w:id="282539379">
                  <w:marLeft w:val="0"/>
                  <w:marRight w:val="0"/>
                  <w:marTop w:val="0"/>
                  <w:marBottom w:val="0"/>
                  <w:divBdr>
                    <w:top w:val="none" w:sz="0" w:space="0" w:color="auto"/>
                    <w:left w:val="none" w:sz="0" w:space="0" w:color="auto"/>
                    <w:bottom w:val="none" w:sz="0" w:space="0" w:color="auto"/>
                    <w:right w:val="none" w:sz="0" w:space="0" w:color="auto"/>
                  </w:divBdr>
                  <w:divsChild>
                    <w:div w:id="1611157985">
                      <w:marLeft w:val="0"/>
                      <w:marRight w:val="0"/>
                      <w:marTop w:val="0"/>
                      <w:marBottom w:val="0"/>
                      <w:divBdr>
                        <w:top w:val="none" w:sz="0" w:space="0" w:color="auto"/>
                        <w:left w:val="none" w:sz="0" w:space="0" w:color="auto"/>
                        <w:bottom w:val="none" w:sz="0" w:space="0" w:color="auto"/>
                        <w:right w:val="none" w:sz="0" w:space="0" w:color="auto"/>
                      </w:divBdr>
                    </w:div>
                    <w:div w:id="1193180693">
                      <w:marLeft w:val="0"/>
                      <w:marRight w:val="0"/>
                      <w:marTop w:val="0"/>
                      <w:marBottom w:val="0"/>
                      <w:divBdr>
                        <w:top w:val="none" w:sz="0" w:space="0" w:color="auto"/>
                        <w:left w:val="none" w:sz="0" w:space="0" w:color="auto"/>
                        <w:bottom w:val="none" w:sz="0" w:space="0" w:color="auto"/>
                        <w:right w:val="none" w:sz="0" w:space="0" w:color="auto"/>
                      </w:divBdr>
                    </w:div>
                  </w:divsChild>
                </w:div>
                <w:div w:id="174617493">
                  <w:marLeft w:val="0"/>
                  <w:marRight w:val="0"/>
                  <w:marTop w:val="0"/>
                  <w:marBottom w:val="0"/>
                  <w:divBdr>
                    <w:top w:val="none" w:sz="0" w:space="0" w:color="auto"/>
                    <w:left w:val="none" w:sz="0" w:space="0" w:color="auto"/>
                    <w:bottom w:val="none" w:sz="0" w:space="0" w:color="auto"/>
                    <w:right w:val="none" w:sz="0" w:space="0" w:color="auto"/>
                  </w:divBdr>
                  <w:divsChild>
                    <w:div w:id="852301419">
                      <w:marLeft w:val="0"/>
                      <w:marRight w:val="0"/>
                      <w:marTop w:val="0"/>
                      <w:marBottom w:val="0"/>
                      <w:divBdr>
                        <w:top w:val="none" w:sz="0" w:space="0" w:color="auto"/>
                        <w:left w:val="none" w:sz="0" w:space="0" w:color="auto"/>
                        <w:bottom w:val="none" w:sz="0" w:space="0" w:color="auto"/>
                        <w:right w:val="none" w:sz="0" w:space="0" w:color="auto"/>
                      </w:divBdr>
                      <w:divsChild>
                        <w:div w:id="384528330">
                          <w:marLeft w:val="0"/>
                          <w:marRight w:val="0"/>
                          <w:marTop w:val="0"/>
                          <w:marBottom w:val="0"/>
                          <w:divBdr>
                            <w:top w:val="none" w:sz="0" w:space="0" w:color="auto"/>
                            <w:left w:val="none" w:sz="0" w:space="0" w:color="auto"/>
                            <w:bottom w:val="none" w:sz="0" w:space="0" w:color="auto"/>
                            <w:right w:val="none" w:sz="0" w:space="0" w:color="auto"/>
                          </w:divBdr>
                        </w:div>
                      </w:divsChild>
                    </w:div>
                    <w:div w:id="1597666298">
                      <w:marLeft w:val="0"/>
                      <w:marRight w:val="0"/>
                      <w:marTop w:val="0"/>
                      <w:marBottom w:val="0"/>
                      <w:divBdr>
                        <w:top w:val="none" w:sz="0" w:space="0" w:color="auto"/>
                        <w:left w:val="none" w:sz="0" w:space="0" w:color="auto"/>
                        <w:bottom w:val="none" w:sz="0" w:space="0" w:color="auto"/>
                        <w:right w:val="none" w:sz="0" w:space="0" w:color="auto"/>
                      </w:divBdr>
                    </w:div>
                    <w:div w:id="1622880430">
                      <w:marLeft w:val="0"/>
                      <w:marRight w:val="0"/>
                      <w:marTop w:val="0"/>
                      <w:marBottom w:val="0"/>
                      <w:divBdr>
                        <w:top w:val="none" w:sz="0" w:space="0" w:color="auto"/>
                        <w:left w:val="none" w:sz="0" w:space="0" w:color="auto"/>
                        <w:bottom w:val="none" w:sz="0" w:space="0" w:color="auto"/>
                        <w:right w:val="none" w:sz="0" w:space="0" w:color="auto"/>
                      </w:divBdr>
                    </w:div>
                    <w:div w:id="1812094516">
                      <w:marLeft w:val="0"/>
                      <w:marRight w:val="0"/>
                      <w:marTop w:val="0"/>
                      <w:marBottom w:val="0"/>
                      <w:divBdr>
                        <w:top w:val="none" w:sz="0" w:space="0" w:color="auto"/>
                        <w:left w:val="none" w:sz="0" w:space="0" w:color="auto"/>
                        <w:bottom w:val="none" w:sz="0" w:space="0" w:color="auto"/>
                        <w:right w:val="none" w:sz="0" w:space="0" w:color="auto"/>
                      </w:divBdr>
                      <w:divsChild>
                        <w:div w:id="1153062534">
                          <w:marLeft w:val="0"/>
                          <w:marRight w:val="0"/>
                          <w:marTop w:val="0"/>
                          <w:marBottom w:val="0"/>
                          <w:divBdr>
                            <w:top w:val="none" w:sz="0" w:space="0" w:color="auto"/>
                            <w:left w:val="none" w:sz="0" w:space="0" w:color="auto"/>
                            <w:bottom w:val="none" w:sz="0" w:space="0" w:color="auto"/>
                            <w:right w:val="none" w:sz="0" w:space="0" w:color="auto"/>
                          </w:divBdr>
                        </w:div>
                      </w:divsChild>
                    </w:div>
                    <w:div w:id="741147007">
                      <w:marLeft w:val="0"/>
                      <w:marRight w:val="0"/>
                      <w:marTop w:val="0"/>
                      <w:marBottom w:val="0"/>
                      <w:divBdr>
                        <w:top w:val="none" w:sz="0" w:space="0" w:color="auto"/>
                        <w:left w:val="none" w:sz="0" w:space="0" w:color="auto"/>
                        <w:bottom w:val="none" w:sz="0" w:space="0" w:color="auto"/>
                        <w:right w:val="none" w:sz="0" w:space="0" w:color="auto"/>
                      </w:divBdr>
                      <w:divsChild>
                        <w:div w:id="1284078381">
                          <w:marLeft w:val="0"/>
                          <w:marRight w:val="0"/>
                          <w:marTop w:val="0"/>
                          <w:marBottom w:val="0"/>
                          <w:divBdr>
                            <w:top w:val="none" w:sz="0" w:space="0" w:color="auto"/>
                            <w:left w:val="none" w:sz="0" w:space="0" w:color="auto"/>
                            <w:bottom w:val="none" w:sz="0" w:space="0" w:color="auto"/>
                            <w:right w:val="none" w:sz="0" w:space="0" w:color="auto"/>
                          </w:divBdr>
                        </w:div>
                      </w:divsChild>
                    </w:div>
                    <w:div w:id="757674888">
                      <w:marLeft w:val="0"/>
                      <w:marRight w:val="0"/>
                      <w:marTop w:val="0"/>
                      <w:marBottom w:val="0"/>
                      <w:divBdr>
                        <w:top w:val="none" w:sz="0" w:space="0" w:color="auto"/>
                        <w:left w:val="none" w:sz="0" w:space="0" w:color="auto"/>
                        <w:bottom w:val="none" w:sz="0" w:space="0" w:color="auto"/>
                        <w:right w:val="none" w:sz="0" w:space="0" w:color="auto"/>
                      </w:divBdr>
                    </w:div>
                    <w:div w:id="166602053">
                      <w:marLeft w:val="0"/>
                      <w:marRight w:val="0"/>
                      <w:marTop w:val="0"/>
                      <w:marBottom w:val="0"/>
                      <w:divBdr>
                        <w:top w:val="none" w:sz="0" w:space="0" w:color="auto"/>
                        <w:left w:val="none" w:sz="0" w:space="0" w:color="auto"/>
                        <w:bottom w:val="none" w:sz="0" w:space="0" w:color="auto"/>
                        <w:right w:val="none" w:sz="0" w:space="0" w:color="auto"/>
                      </w:divBdr>
                    </w:div>
                    <w:div w:id="1402143785">
                      <w:marLeft w:val="0"/>
                      <w:marRight w:val="0"/>
                      <w:marTop w:val="0"/>
                      <w:marBottom w:val="0"/>
                      <w:divBdr>
                        <w:top w:val="none" w:sz="0" w:space="0" w:color="auto"/>
                        <w:left w:val="none" w:sz="0" w:space="0" w:color="auto"/>
                        <w:bottom w:val="none" w:sz="0" w:space="0" w:color="auto"/>
                        <w:right w:val="none" w:sz="0" w:space="0" w:color="auto"/>
                      </w:divBdr>
                      <w:divsChild>
                        <w:div w:id="1371685174">
                          <w:marLeft w:val="0"/>
                          <w:marRight w:val="0"/>
                          <w:marTop w:val="0"/>
                          <w:marBottom w:val="0"/>
                          <w:divBdr>
                            <w:top w:val="none" w:sz="0" w:space="0" w:color="auto"/>
                            <w:left w:val="none" w:sz="0" w:space="0" w:color="auto"/>
                            <w:bottom w:val="none" w:sz="0" w:space="0" w:color="auto"/>
                            <w:right w:val="none" w:sz="0" w:space="0" w:color="auto"/>
                          </w:divBdr>
                        </w:div>
                      </w:divsChild>
                    </w:div>
                    <w:div w:id="666829520">
                      <w:marLeft w:val="0"/>
                      <w:marRight w:val="0"/>
                      <w:marTop w:val="0"/>
                      <w:marBottom w:val="0"/>
                      <w:divBdr>
                        <w:top w:val="none" w:sz="0" w:space="0" w:color="auto"/>
                        <w:left w:val="none" w:sz="0" w:space="0" w:color="auto"/>
                        <w:bottom w:val="none" w:sz="0" w:space="0" w:color="auto"/>
                        <w:right w:val="none" w:sz="0" w:space="0" w:color="auto"/>
                      </w:divBdr>
                    </w:div>
                    <w:div w:id="2002081742">
                      <w:marLeft w:val="0"/>
                      <w:marRight w:val="0"/>
                      <w:marTop w:val="0"/>
                      <w:marBottom w:val="0"/>
                      <w:divBdr>
                        <w:top w:val="none" w:sz="0" w:space="0" w:color="auto"/>
                        <w:left w:val="none" w:sz="0" w:space="0" w:color="auto"/>
                        <w:bottom w:val="none" w:sz="0" w:space="0" w:color="auto"/>
                        <w:right w:val="none" w:sz="0" w:space="0" w:color="auto"/>
                      </w:divBdr>
                    </w:div>
                    <w:div w:id="1466577890">
                      <w:marLeft w:val="0"/>
                      <w:marRight w:val="0"/>
                      <w:marTop w:val="0"/>
                      <w:marBottom w:val="0"/>
                      <w:divBdr>
                        <w:top w:val="none" w:sz="0" w:space="0" w:color="auto"/>
                        <w:left w:val="none" w:sz="0" w:space="0" w:color="auto"/>
                        <w:bottom w:val="none" w:sz="0" w:space="0" w:color="auto"/>
                        <w:right w:val="none" w:sz="0" w:space="0" w:color="auto"/>
                      </w:divBdr>
                    </w:div>
                    <w:div w:id="18039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Browne</dc:creator>
  <cp:lastModifiedBy>Ian Browne</cp:lastModifiedBy>
  <cp:revision>3</cp:revision>
  <cp:lastPrinted>2017-09-08T11:01:00Z</cp:lastPrinted>
  <dcterms:created xsi:type="dcterms:W3CDTF">2017-09-08T00:01:00Z</dcterms:created>
  <dcterms:modified xsi:type="dcterms:W3CDTF">2017-09-08T11:16:00Z</dcterms:modified>
</cp:coreProperties>
</file>